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364B8D" w14:textId="76EB8705" w:rsidR="009303D9" w:rsidRPr="008B6524" w:rsidRDefault="00FD529D" w:rsidP="008B6524">
      <w:pPr>
        <w:pStyle w:val="papertitle"/>
        <w:spacing w:before="5pt" w:beforeAutospacing="1" w:after="5pt" w:afterAutospacing="1"/>
        <w:rPr>
          <w:kern w:val="48"/>
        </w:rPr>
      </w:pPr>
      <w:r>
        <w:rPr>
          <w:kern w:val="48"/>
        </w:rPr>
        <w:t>Predicción sobre el precio del Bitcoin mediante Redes Neuronales Recurrentes</w:t>
      </w:r>
    </w:p>
    <w:p w14:paraId="65FD3890" w14:textId="17F37D06" w:rsidR="009303D9" w:rsidRDefault="009303D9" w:rsidP="008B6524">
      <w:pPr>
        <w:pStyle w:val="Author"/>
        <w:spacing w:before="5pt" w:beforeAutospacing="1" w:after="5pt" w:afterAutospacing="1"/>
        <w:rPr>
          <w:sz w:val="16"/>
          <w:szCs w:val="16"/>
        </w:rPr>
      </w:pPr>
    </w:p>
    <w:p w14:paraId="3E6FCC12" w14:textId="77777777" w:rsidR="00D7522C" w:rsidRDefault="00D7522C" w:rsidP="003B4E04">
      <w:pPr>
        <w:pStyle w:val="Author"/>
        <w:spacing w:before="5pt" w:beforeAutospacing="1" w:after="5pt" w:afterAutospacing="1" w:line="6pt" w:lineRule="auto"/>
        <w:rPr>
          <w:sz w:val="16"/>
          <w:szCs w:val="16"/>
        </w:rPr>
      </w:pPr>
    </w:p>
    <w:p w14:paraId="61F4AD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BDC5262" w14:textId="1A51BCDF" w:rsidR="001A3B3D" w:rsidRPr="00F847A6" w:rsidRDefault="00FD529D" w:rsidP="0011589F">
      <w:pPr>
        <w:pStyle w:val="Author"/>
        <w:spacing w:before="5pt" w:beforeAutospacing="1"/>
        <w:rPr>
          <w:sz w:val="18"/>
          <w:szCs w:val="18"/>
        </w:rPr>
      </w:pPr>
      <w:r>
        <w:rPr>
          <w:sz w:val="18"/>
          <w:szCs w:val="18"/>
        </w:rPr>
        <w:t>Daniel Ramos Hoogwout</w:t>
      </w:r>
      <w:r w:rsidR="001A3B3D" w:rsidRPr="00F847A6">
        <w:rPr>
          <w:sz w:val="18"/>
          <w:szCs w:val="18"/>
        </w:rPr>
        <w:br/>
      </w:r>
      <w:r w:rsidR="0011589F">
        <w:rPr>
          <w:sz w:val="18"/>
          <w:szCs w:val="18"/>
        </w:rPr>
        <w:t>Estudiante MADM</w:t>
      </w:r>
      <w:r w:rsidR="00D72D06" w:rsidRPr="00F847A6">
        <w:rPr>
          <w:sz w:val="18"/>
          <w:szCs w:val="18"/>
        </w:rPr>
        <w:br/>
      </w:r>
      <w:r w:rsidR="0011589F">
        <w:rPr>
          <w:sz w:val="18"/>
          <w:szCs w:val="18"/>
        </w:rPr>
        <w:t>UIB</w:t>
      </w:r>
      <w:r w:rsidR="001A3B3D" w:rsidRPr="00F847A6">
        <w:rPr>
          <w:i/>
          <w:sz w:val="18"/>
          <w:szCs w:val="18"/>
        </w:rPr>
        <w:br/>
      </w:r>
      <w:r w:rsidR="0011589F">
        <w:rPr>
          <w:sz w:val="18"/>
          <w:szCs w:val="18"/>
        </w:rPr>
        <w:t>Palma de Mallorca, España</w:t>
      </w:r>
      <w:r w:rsidR="001A3B3D" w:rsidRPr="00F847A6">
        <w:rPr>
          <w:sz w:val="18"/>
          <w:szCs w:val="18"/>
        </w:rPr>
        <w:br/>
      </w:r>
      <w:r w:rsidR="0011589F">
        <w:rPr>
          <w:sz w:val="18"/>
          <w:szCs w:val="18"/>
        </w:rPr>
        <w:t>daniel.ramos1@estudiant.uib.es</w:t>
      </w:r>
      <w:r w:rsidR="00BD670B">
        <w:rPr>
          <w:sz w:val="18"/>
          <w:szCs w:val="18"/>
        </w:rPr>
        <w:br w:type="column"/>
      </w:r>
      <w:r w:rsidR="0011589F">
        <w:rPr>
          <w:sz w:val="18"/>
          <w:szCs w:val="18"/>
        </w:rPr>
        <w:t>Victor Troster</w:t>
      </w:r>
      <w:r w:rsidR="001A3B3D" w:rsidRPr="00F847A6">
        <w:rPr>
          <w:sz w:val="18"/>
          <w:szCs w:val="18"/>
        </w:rPr>
        <w:br/>
      </w:r>
      <w:r w:rsidR="0011589F">
        <w:rPr>
          <w:sz w:val="18"/>
          <w:szCs w:val="18"/>
        </w:rPr>
        <w:t>Tutor MADM</w:t>
      </w:r>
      <w:r w:rsidR="001A3B3D" w:rsidRPr="00F847A6">
        <w:rPr>
          <w:sz w:val="18"/>
          <w:szCs w:val="18"/>
        </w:rPr>
        <w:br/>
      </w:r>
      <w:r w:rsidR="0011589F">
        <w:rPr>
          <w:sz w:val="18"/>
          <w:szCs w:val="18"/>
        </w:rPr>
        <w:t>UIB</w:t>
      </w:r>
      <w:r w:rsidR="001A3B3D" w:rsidRPr="00F847A6">
        <w:rPr>
          <w:i/>
          <w:sz w:val="18"/>
          <w:szCs w:val="18"/>
        </w:rPr>
        <w:br/>
      </w:r>
      <w:r w:rsidR="0011589F">
        <w:rPr>
          <w:sz w:val="18"/>
          <w:szCs w:val="18"/>
        </w:rPr>
        <w:t>Palma de Mallorca, España</w:t>
      </w:r>
      <w:r w:rsidR="001A3B3D" w:rsidRPr="00F847A6">
        <w:rPr>
          <w:sz w:val="18"/>
          <w:szCs w:val="18"/>
        </w:rPr>
        <w:br/>
      </w:r>
      <w:r w:rsidR="0011589F">
        <w:rPr>
          <w:sz w:val="18"/>
          <w:szCs w:val="18"/>
        </w:rPr>
        <w:t>victor.troster@uib.es</w:t>
      </w:r>
    </w:p>
    <w:p w14:paraId="1AD97A95" w14:textId="1947C9ED" w:rsidR="009F1D79" w:rsidRPr="0011589F" w:rsidRDefault="0011589F" w:rsidP="0011589F">
      <w:pPr>
        <w:pStyle w:val="Author"/>
        <w:spacing w:before="5pt" w:beforeAutospacing="1"/>
        <w:jc w:val="both"/>
        <w:rPr>
          <w:sz w:val="18"/>
          <w:szCs w:val="18"/>
        </w:rPr>
        <w:sectPr w:rsidR="009F1D79" w:rsidRPr="0011589F" w:rsidSect="0011589F">
          <w:type w:val="continuous"/>
          <w:pgSz w:w="595.30pt" w:h="841.90pt" w:code="9"/>
          <w:pgMar w:top="22.50pt" w:right="44.65pt" w:bottom="72pt" w:left="44.65pt" w:header="36pt" w:footer="36pt" w:gutter="0pt"/>
          <w:cols w:num="2" w:space="36pt"/>
          <w:docGrid w:linePitch="360"/>
        </w:sectPr>
      </w:pPr>
      <w:r w:rsidRPr="00F847A6">
        <w:rPr>
          <w:sz w:val="18"/>
          <w:szCs w:val="18"/>
        </w:rPr>
        <w:t xml:space="preserve"> </w:t>
      </w:r>
      <w:r w:rsidR="001A3B3D" w:rsidRPr="00F847A6">
        <w:rPr>
          <w:sz w:val="18"/>
          <w:szCs w:val="18"/>
        </w:rPr>
        <w:br/>
      </w:r>
      <w:r w:rsidR="007B6DDA">
        <w:rPr>
          <w:i/>
          <w:sz w:val="18"/>
          <w:szCs w:val="18"/>
        </w:rPr>
        <w:br/>
      </w:r>
    </w:p>
    <w:p w14:paraId="24405F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4A4A67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B920CA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CFC9C31" w14:textId="365F2601" w:rsidR="009303D9" w:rsidRPr="00D632BE" w:rsidRDefault="009303D9" w:rsidP="006B6B66">
      <w:pPr>
        <w:pStyle w:val="Ttulo1"/>
      </w:pPr>
      <w:r w:rsidRPr="00D632BE">
        <w:t>Intro</w:t>
      </w:r>
      <w:r w:rsidR="006872CE">
        <w:t>dución</w:t>
      </w:r>
    </w:p>
    <w:p w14:paraId="4200D3C0" w14:textId="48051DF1" w:rsidR="009303D9" w:rsidRPr="00FB54C6" w:rsidRDefault="00FD529D" w:rsidP="00E7596C">
      <w:pPr>
        <w:pStyle w:val="Textoindependiente"/>
        <w:rPr>
          <w:color w:val="FF0000"/>
          <w:lang w:val="es-ES"/>
        </w:rPr>
      </w:pPr>
      <w:r w:rsidRPr="00FB54C6">
        <w:rPr>
          <w:color w:val="FF0000"/>
          <w:lang w:val="es-ES"/>
        </w:rPr>
        <w:t>Falta rellenar esta sección</w:t>
      </w:r>
    </w:p>
    <w:p w14:paraId="075A809E" w14:textId="77777777" w:rsidR="006872CE" w:rsidRPr="00FD529D" w:rsidRDefault="006872CE" w:rsidP="00E7596C">
      <w:pPr>
        <w:pStyle w:val="Textoindependiente"/>
        <w:rPr>
          <w:lang w:val="es-ES"/>
        </w:rPr>
      </w:pPr>
    </w:p>
    <w:p w14:paraId="34C83F52" w14:textId="6F616DFC" w:rsidR="009303D9" w:rsidRDefault="006872CE" w:rsidP="006B6B66">
      <w:pPr>
        <w:pStyle w:val="Ttulo1"/>
      </w:pPr>
      <w:r>
        <w:t>metodología</w:t>
      </w:r>
    </w:p>
    <w:p w14:paraId="5B3E0EE0" w14:textId="3D41E285" w:rsidR="006872CE" w:rsidRPr="00FB54C6" w:rsidRDefault="006872CE" w:rsidP="006872CE">
      <w:pPr>
        <w:pStyle w:val="Textoindependiente"/>
        <w:rPr>
          <w:color w:val="FF0000"/>
          <w:lang w:val="es-ES"/>
        </w:rPr>
      </w:pPr>
      <w:r w:rsidRPr="00FB54C6">
        <w:rPr>
          <w:color w:val="FF0000"/>
          <w:lang w:val="es-ES"/>
        </w:rPr>
        <w:t>Falta rellenar esta sección</w:t>
      </w:r>
    </w:p>
    <w:p w14:paraId="239BEA2D" w14:textId="77777777" w:rsidR="006872CE" w:rsidRPr="006872CE" w:rsidRDefault="006872CE" w:rsidP="006872CE">
      <w:pPr>
        <w:pStyle w:val="Textoindependiente"/>
        <w:rPr>
          <w:rStyle w:val="nfasis"/>
          <w:i w:val="0"/>
          <w:iCs w:val="0"/>
          <w:lang w:val="es-ES"/>
        </w:rPr>
      </w:pPr>
    </w:p>
    <w:p w14:paraId="48B440AE" w14:textId="18A3DF91" w:rsidR="006872CE" w:rsidRDefault="00DF6BC7" w:rsidP="006872CE">
      <w:pPr>
        <w:pStyle w:val="Ttulo1"/>
      </w:pPr>
      <w:r>
        <w:t>Análisis Empírico</w:t>
      </w:r>
    </w:p>
    <w:p w14:paraId="717C329B" w14:textId="77777777" w:rsidR="00DF6BC7" w:rsidRPr="00DF6BC7" w:rsidRDefault="00DF6BC7" w:rsidP="00DF6BC7">
      <w:pPr>
        <w:pStyle w:val="Textoindependiente"/>
        <w:rPr>
          <w:lang w:val="es-ES"/>
        </w:rPr>
      </w:pPr>
      <w:r w:rsidRPr="00DF6BC7">
        <w:rPr>
          <w:lang w:val="es-ES"/>
        </w:rPr>
        <w:t>En esta sección se aplican las redes neuronales recurrentes explicadas en la sección anterior para predecir el precio de apertura del Bitcoin durante un período de tres meses.</w:t>
      </w:r>
    </w:p>
    <w:p w14:paraId="44AE4DF5" w14:textId="77777777" w:rsidR="00DF6BC7" w:rsidRPr="00DF6BC7" w:rsidRDefault="00DF6BC7" w:rsidP="00DF6BC7">
      <w:pPr>
        <w:pStyle w:val="Textoindependiente"/>
        <w:rPr>
          <w:lang w:val="es-ES"/>
        </w:rPr>
      </w:pPr>
      <w:r w:rsidRPr="00DF6BC7">
        <w:rPr>
          <w:lang w:val="es-ES"/>
        </w:rPr>
        <w:t>Para muestra de entrenamiento se ha escogido el período que abarca desde 17 de septiembre de 2014 hasta el 30 de noviembre de 2019. Se ha escogido este período de tiempo ya que comienza desde el dato más antiguo disponible en https://es.finance.yahoo.com/ hasta 3 meses antes de que la pandemia afectase de manera mundial, considerando marzo como el inicio de la pandemia COVID-19.</w:t>
      </w:r>
    </w:p>
    <w:p w14:paraId="6DF18E56" w14:textId="77777777" w:rsidR="00DF6BC7" w:rsidRPr="00DF6BC7" w:rsidRDefault="00DF6BC7" w:rsidP="00DF6BC7">
      <w:pPr>
        <w:pStyle w:val="Textoindependiente"/>
        <w:rPr>
          <w:lang w:val="es-ES"/>
        </w:rPr>
      </w:pPr>
      <w:r w:rsidRPr="00DF6BC7">
        <w:rPr>
          <w:lang w:val="es-ES"/>
        </w:rPr>
        <w:t>Por lo tanto, la muestra de testeo comienza desde el 1 de diciembre de 2019 hasta el 29 de marzo de 2020.</w:t>
      </w:r>
    </w:p>
    <w:p w14:paraId="66EE6D61" w14:textId="431F4FED" w:rsidR="00DF6BC7" w:rsidRPr="00DF6BC7" w:rsidRDefault="0035407E" w:rsidP="00DF6BC7">
      <w:pPr>
        <w:pStyle w:val="Textoindependiente"/>
        <w:rPr>
          <w:lang w:val="es-ES"/>
        </w:rPr>
      </w:pPr>
      <w:r w:rsidRPr="0035407E">
        <w:rPr>
          <w:noProof/>
          <w:lang w:val="es-ES"/>
        </w:rPr>
        <w:drawing>
          <wp:anchor distT="45720" distB="45720" distL="114300" distR="114300" simplePos="0" relativeHeight="251663360" behindDoc="0" locked="0" layoutInCell="1" allowOverlap="1" wp14:anchorId="45E9DD8D" wp14:editId="75ABF96E">
            <wp:simplePos x="0" y="0"/>
            <wp:positionH relativeFrom="column">
              <wp:posOffset>3584575</wp:posOffset>
            </wp:positionH>
            <wp:positionV relativeFrom="paragraph">
              <wp:posOffset>358140</wp:posOffset>
            </wp:positionV>
            <wp:extent cx="2606040" cy="960120"/>
            <wp:effectExtent l="0" t="0" r="22860" b="11430"/>
            <wp:wrapSquare wrapText="bothSides"/>
            <wp:docPr id="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6040" cy="960120"/>
                    </a:xfrm>
                    <a:prstGeom prst="rect">
                      <a:avLst/>
                    </a:prstGeom>
                    <a:solidFill>
                      <a:srgbClr val="FFFFFF"/>
                    </a:solidFill>
                    <a:ln w="9525">
                      <a:solidFill>
                        <a:srgbClr val="000000"/>
                      </a:solidFill>
                      <a:miter lim="800%"/>
                      <a:headEnd/>
                      <a:tailEnd/>
                    </a:ln>
                  </wp:spPr>
                  <wp:txbx>
                    <wne:txbxContent>
                      <w:p w14:paraId="0E3B5B6E" w14:textId="03A2780E" w:rsidR="0035407E" w:rsidRDefault="0035407E">
                        <w:r>
                          <w:rPr>
                            <w:noProof/>
                          </w:rPr>
                          <w:drawing>
                            <wp:inline distT="0" distB="0" distL="0" distR="0" wp14:anchorId="35A0A348" wp14:editId="0647E6E8">
                              <wp:extent cx="2348865" cy="836930"/>
                              <wp:effectExtent l="0" t="0" r="0" b="1270"/>
                              <wp:docPr id="9" name="Imagen 9" descr="Imagen que contiene reloj, obje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n 5" descr="Imagen que contiene reloj, obje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8865" cy="83693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roofErr w:type="spellStart"/>
      <w:r w:rsidR="00DF6BC7" w:rsidRPr="00DF6BC7">
        <w:rPr>
          <w:lang w:val="es-ES"/>
        </w:rPr>
        <w:t>Yahoo</w:t>
      </w:r>
      <w:proofErr w:type="spellEnd"/>
      <w:r w:rsidR="00DF6BC7" w:rsidRPr="00DF6BC7">
        <w:rPr>
          <w:lang w:val="es-ES"/>
        </w:rPr>
        <w:t xml:space="preserve"> </w:t>
      </w:r>
      <w:proofErr w:type="spellStart"/>
      <w:r w:rsidR="00DF6BC7" w:rsidRPr="00DF6BC7">
        <w:rPr>
          <w:lang w:val="es-ES"/>
        </w:rPr>
        <w:t>Finance</w:t>
      </w:r>
      <w:proofErr w:type="spellEnd"/>
      <w:r w:rsidR="00DF6BC7" w:rsidRPr="00DF6BC7">
        <w:rPr>
          <w:lang w:val="es-ES"/>
        </w:rPr>
        <w:t xml:space="preserve"> ofrece varios datos referentes a la cotización de los activos de los cuales se han escogido el precio de apertura y cierre diarios para entrenar la red neuronal. En un principio se había incluido también un índice bursátil, en concreto, el IBEX 35 ya que en los últimos meses se ha</w:t>
      </w:r>
      <w:r w:rsidR="000C77FA">
        <w:rPr>
          <w:lang w:val="es-ES"/>
        </w:rPr>
        <w:t xml:space="preserve"> comentado</w:t>
      </w:r>
      <w:r w:rsidR="00DF6BC7" w:rsidRPr="00DF6BC7">
        <w:rPr>
          <w:lang w:val="es-ES"/>
        </w:rPr>
        <w:t xml:space="preserve"> mucho</w:t>
      </w:r>
      <w:r w:rsidR="000C77FA" w:rsidRPr="000C77FA">
        <w:rPr>
          <w:lang w:val="es-ES"/>
        </w:rPr>
        <w:t xml:space="preserve"> </w:t>
      </w:r>
      <w:sdt>
        <w:sdtPr>
          <w:rPr>
            <w:lang w:val="es-ES"/>
          </w:rPr>
          <w:id w:val="-42761983"/>
          <w:citation/>
        </w:sdtPr>
        <w:sdtEndPr/>
        <w:sdtContent>
          <w:r w:rsidR="000C77FA">
            <w:rPr>
              <w:lang w:val="es-ES"/>
            </w:rPr>
            <w:fldChar w:fldCharType="begin"/>
          </w:r>
          <w:r w:rsidR="000C77FA">
            <w:rPr>
              <w:lang w:val="es-ES"/>
            </w:rPr>
            <w:instrText xml:space="preserve"> CITATION Fro21 \l</w:instrText>
          </w:r>
          <w:r w:rsidR="000C1ED6">
            <w:rPr>
              <w:lang w:val="es-ES"/>
            </w:rPr>
            <w:instrText xml:space="preserve"> es-ES </w:instrText>
          </w:r>
          <w:r w:rsidR="000C77FA">
            <w:rPr>
              <w:lang w:val="es-ES"/>
            </w:rPr>
            <w:fldChar w:fldCharType="separate"/>
          </w:r>
          <w:r w:rsidR="000C77FA" w:rsidRPr="000C77FA">
            <w:rPr>
              <w:noProof/>
              <w:lang w:val="es-ES"/>
            </w:rPr>
            <w:t>[1]</w:t>
          </w:r>
          <w:r w:rsidR="000C77FA">
            <w:rPr>
              <w:lang w:val="es-ES"/>
            </w:rPr>
            <w:fldChar w:fldCharType="end"/>
          </w:r>
        </w:sdtContent>
      </w:sdt>
      <w:r w:rsidR="00DF6BC7" w:rsidRPr="00DF6BC7">
        <w:rPr>
          <w:lang w:val="es-ES"/>
        </w:rPr>
        <w:t xml:space="preserve"> la correlación creciente entre estos dos activos, desafortunadamente la inclusión del índice empeoró mucho las predicciones y se ha optado por eliminarlo de este análisis.</w:t>
      </w:r>
    </w:p>
    <w:p w14:paraId="63E7110E" w14:textId="77777777" w:rsidR="00DF6BC7" w:rsidRPr="00DF6BC7" w:rsidRDefault="00DF6BC7" w:rsidP="00DF6BC7">
      <w:pPr>
        <w:pStyle w:val="Textoindependiente"/>
        <w:rPr>
          <w:lang w:val="es-ES"/>
        </w:rPr>
      </w:pPr>
      <w:r w:rsidRPr="00DF6BC7">
        <w:rPr>
          <w:lang w:val="es-ES"/>
        </w:rPr>
        <w:t>Antes de introducir estos datos en la red neuronal estos se han normalizado a valores entre 0 y 1 para simplificar la entrada a la red neuronal. Evitando así que una variable domine sobre la otra en el caso de que la escala de esta fuese mayor.</w:t>
      </w:r>
    </w:p>
    <w:p w14:paraId="4439FA4F" w14:textId="7F446F81" w:rsidR="00DF6BC7" w:rsidRDefault="00DF6BC7" w:rsidP="00DF6BC7">
      <w:pPr>
        <w:pStyle w:val="Textoindependiente"/>
        <w:rPr>
          <w:lang w:val="es-ES"/>
        </w:rPr>
      </w:pPr>
      <w:r w:rsidRPr="00DF6BC7">
        <w:rPr>
          <w:lang w:val="es-ES"/>
        </w:rPr>
        <w:t xml:space="preserve">La entrada de información a la red neuronal está compuesta por una matriz tridimensional que contiene el precio del bitcoin de apertura y de cierre con 90 </w:t>
      </w:r>
      <w:proofErr w:type="spellStart"/>
      <w:r w:rsidRPr="00DF6BC7">
        <w:rPr>
          <w:lang w:val="es-ES"/>
        </w:rPr>
        <w:t>timesteps</w:t>
      </w:r>
      <w:proofErr w:type="spellEnd"/>
      <w:r w:rsidRPr="00DF6BC7">
        <w:rPr>
          <w:lang w:val="es-ES"/>
        </w:rPr>
        <w:t>, es decir, en cada momento del tiempo la red de neuronal será capaz de mirar 90 días atrás antes del día actual y en base a esta información predecir el precio de apertura actual.</w:t>
      </w:r>
    </w:p>
    <w:p w14:paraId="28757EE2" w14:textId="5F65C720" w:rsidR="009303D9" w:rsidRDefault="00DF6BC7" w:rsidP="00CB6A2B">
      <w:pPr>
        <w:jc w:val="both"/>
      </w:pPr>
      <w:r>
        <w:rPr>
          <w:noProof/>
        </w:rPr>
        <w:drawing>
          <wp:anchor distT="45720" distB="45720" distL="114300" distR="114300" simplePos="0" relativeHeight="251659264" behindDoc="0" locked="0" layoutInCell="1" allowOverlap="1" wp14:anchorId="228604DF" wp14:editId="0A759783">
            <wp:simplePos x="0" y="0"/>
            <wp:positionH relativeFrom="column">
              <wp:align>center</wp:align>
            </wp:positionH>
            <wp:positionV relativeFrom="paragraph">
              <wp:posOffset>182880</wp:posOffset>
            </wp:positionV>
            <wp:extent cx="2360930" cy="1404620"/>
            <wp:effectExtent l="0" t="0" r="22860" b="1143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7F769AA6" w14:textId="63D7BA1C" w:rsidR="00DF6BC7" w:rsidRDefault="00DF6BC7">
                        <w:r w:rsidRPr="00DF6BC7">
                          <w:rPr>
                            <w:noProof/>
                          </w:rPr>
                          <w:drawing>
                            <wp:inline distT="0" distB="0" distL="0" distR="0" wp14:anchorId="7A4E3B43" wp14:editId="02E69B12">
                              <wp:extent cx="2339340" cy="1973580"/>
                              <wp:effectExtent l="0" t="0" r="3810" b="762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1973580"/>
                                      </a:xfrm>
                                      <a:prstGeom prst="rect">
                                        <a:avLst/>
                                      </a:prstGeom>
                                      <a:noFill/>
                                      <a:ln>
                                        <a:noFill/>
                                      </a:ln>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4A4A70C7" w14:textId="32BE0A94" w:rsidR="000D6146" w:rsidRPr="000D6146" w:rsidRDefault="000D6146" w:rsidP="000D6146">
      <w:pPr>
        <w:pStyle w:val="figurecaption"/>
      </w:pPr>
      <w:r>
        <w:t>Matriz de entrada a la red neuronal.</w:t>
      </w:r>
    </w:p>
    <w:p w14:paraId="0AFEE4B8" w14:textId="75EA2F66" w:rsidR="00CB6A2B" w:rsidRDefault="00CB6A2B" w:rsidP="00CB6A2B">
      <w:pPr>
        <w:pStyle w:val="Textoindependiente"/>
        <w:rPr>
          <w:lang w:val="es-ES"/>
        </w:rPr>
      </w:pPr>
      <w:r w:rsidRPr="00CB6A2B">
        <w:rPr>
          <w:lang w:val="es-ES"/>
        </w:rPr>
        <w:t xml:space="preserve">La red neuronal que procesa esta matriz está compuesta por una entrada, cuatro capas con 50 neuronas cada una, intercaladas por una capa de </w:t>
      </w:r>
      <w:proofErr w:type="spellStart"/>
      <w:r w:rsidRPr="00CB6A2B">
        <w:rPr>
          <w:lang w:val="es-ES"/>
        </w:rPr>
        <w:t>dropout</w:t>
      </w:r>
      <w:proofErr w:type="spellEnd"/>
      <w:r w:rsidRPr="00CB6A2B">
        <w:rPr>
          <w:lang w:val="es-ES"/>
        </w:rPr>
        <w:t xml:space="preserve"> que permite que se desactiven un 20% de las neuronas y por tanto solo el 80% de la información pase a la siguiente capa previniendo el sobreajuste. Finalmente hay una capa de salida que proporciona la predicción del precio de apertura del bitcoin.</w:t>
      </w:r>
    </w:p>
    <w:p w14:paraId="34295F2E" w14:textId="6A18379E" w:rsidR="0035407E" w:rsidRPr="00CB6A2B" w:rsidRDefault="0035407E" w:rsidP="00CB6A2B">
      <w:pPr>
        <w:pStyle w:val="Textoindependiente"/>
        <w:rPr>
          <w:lang w:val="es-ES"/>
        </w:rPr>
      </w:pPr>
    </w:p>
    <w:p w14:paraId="641C32BA" w14:textId="2CF288A7" w:rsidR="0035407E" w:rsidRPr="000D6146" w:rsidRDefault="0035407E" w:rsidP="0035407E">
      <w:pPr>
        <w:pStyle w:val="figurecaption"/>
      </w:pPr>
      <w:r>
        <w:t>Estructura de la red neuronal.</w:t>
      </w:r>
    </w:p>
    <w:p w14:paraId="6F99167F" w14:textId="77777777" w:rsidR="00CB6A2B" w:rsidRPr="00CB6A2B" w:rsidRDefault="00CB6A2B" w:rsidP="00CB6A2B">
      <w:pPr>
        <w:pStyle w:val="Textoindependiente"/>
        <w:rPr>
          <w:lang w:val="es-ES"/>
        </w:rPr>
      </w:pPr>
      <w:r w:rsidRPr="00CB6A2B">
        <w:rPr>
          <w:lang w:val="es-ES"/>
        </w:rPr>
        <w:t xml:space="preserve">Se ha optado por alimentar a la red neuronal en </w:t>
      </w:r>
      <w:proofErr w:type="spellStart"/>
      <w:r w:rsidRPr="00CB6A2B">
        <w:rPr>
          <w:lang w:val="es-ES"/>
        </w:rPr>
        <w:t>batches</w:t>
      </w:r>
      <w:proofErr w:type="spellEnd"/>
      <w:r w:rsidRPr="00CB6A2B">
        <w:rPr>
          <w:lang w:val="es-ES"/>
        </w:rPr>
        <w:t xml:space="preserve"> de 32 unidades ya que es un valor relativamente pequeño que ayuda a converger de manera rápida a costa de introducir ruido en el proceso de entrenamiento. </w:t>
      </w:r>
      <w:r w:rsidRPr="007C4532">
        <w:rPr>
          <w:color w:val="FF0000"/>
          <w:lang w:val="es-ES"/>
        </w:rPr>
        <w:t xml:space="preserve">Incluir referencia bibliográfica https://machinelearningmastery.com/gentle-introduction-mini-batch-gradient-descent-configure-batch-size/ </w:t>
      </w:r>
    </w:p>
    <w:p w14:paraId="5F00F40E" w14:textId="77777777" w:rsidR="00CB6A2B" w:rsidRPr="007C4532" w:rsidRDefault="00CB6A2B" w:rsidP="00CB6A2B">
      <w:pPr>
        <w:pStyle w:val="Textoindependiente"/>
        <w:rPr>
          <w:color w:val="FF0000"/>
          <w:lang w:val="es-ES"/>
        </w:rPr>
      </w:pPr>
      <w:r w:rsidRPr="007C4532">
        <w:rPr>
          <w:color w:val="FF0000"/>
          <w:lang w:val="es-ES"/>
        </w:rPr>
        <w:t>https://machinelearningmastery.com/difference-between-a-batch-and-an-epoch/</w:t>
      </w:r>
    </w:p>
    <w:p w14:paraId="429FA8E8" w14:textId="5C864F7E" w:rsidR="00CB6A2B" w:rsidRPr="00CB6A2B" w:rsidRDefault="00CB6A2B" w:rsidP="00CB6A2B">
      <w:pPr>
        <w:pStyle w:val="Textoindependiente"/>
        <w:rPr>
          <w:lang w:val="es-ES"/>
        </w:rPr>
      </w:pPr>
      <w:r w:rsidRPr="00CB6A2B">
        <w:rPr>
          <w:lang w:val="es-ES"/>
        </w:rPr>
        <w:t xml:space="preserve">El número de </w:t>
      </w:r>
      <w:proofErr w:type="spellStart"/>
      <w:r w:rsidRPr="00CB6A2B">
        <w:rPr>
          <w:lang w:val="es-ES"/>
        </w:rPr>
        <w:t>epochs</w:t>
      </w:r>
      <w:proofErr w:type="spellEnd"/>
      <w:r w:rsidRPr="00CB6A2B">
        <w:rPr>
          <w:lang w:val="es-ES"/>
        </w:rPr>
        <w:t xml:space="preserve"> o en otras palabras el número de veces que el algoritmo de aprendizaje ha digerido todo el </w:t>
      </w:r>
      <w:proofErr w:type="spellStart"/>
      <w:r w:rsidRPr="00CB6A2B">
        <w:rPr>
          <w:lang w:val="es-ES"/>
        </w:rPr>
        <w:t>dataset</w:t>
      </w:r>
      <w:proofErr w:type="spellEnd"/>
      <w:r w:rsidRPr="00CB6A2B">
        <w:rPr>
          <w:lang w:val="es-ES"/>
        </w:rPr>
        <w:t xml:space="preserve"> de entrenamiento se ha situado en 1000 ya que es el valor en el cual se reduce al máximo el </w:t>
      </w:r>
      <w:r w:rsidR="00645E07">
        <w:rPr>
          <w:lang w:val="es-ES"/>
        </w:rPr>
        <w:t>gradiente descendiente</w:t>
      </w:r>
      <w:r w:rsidRPr="00CB6A2B">
        <w:rPr>
          <w:lang w:val="es-ES"/>
        </w:rPr>
        <w:t xml:space="preserve">. </w:t>
      </w:r>
      <w:r w:rsidR="00645E07">
        <w:rPr>
          <w:lang w:val="es-ES"/>
        </w:rPr>
        <w:t xml:space="preserve"> </w:t>
      </w:r>
      <w:r w:rsidR="00645E07" w:rsidRPr="00645E07">
        <w:rPr>
          <w:color w:val="FF0000"/>
          <w:lang w:val="es-ES"/>
        </w:rPr>
        <w:t>Falta el g</w:t>
      </w:r>
      <w:r w:rsidRPr="00645E07">
        <w:rPr>
          <w:color w:val="FF0000"/>
          <w:lang w:val="es-ES"/>
        </w:rPr>
        <w:t xml:space="preserve">ráfico con la reducción del error para los </w:t>
      </w:r>
      <w:proofErr w:type="spellStart"/>
      <w:r w:rsidRPr="00645E07">
        <w:rPr>
          <w:color w:val="FF0000"/>
          <w:lang w:val="es-ES"/>
        </w:rPr>
        <w:t>epochs</w:t>
      </w:r>
      <w:proofErr w:type="spellEnd"/>
      <w:r w:rsidRPr="00645E07">
        <w:rPr>
          <w:color w:val="FF0000"/>
          <w:lang w:val="es-ES"/>
        </w:rPr>
        <w:t>.</w:t>
      </w:r>
    </w:p>
    <w:p w14:paraId="021FB4BC" w14:textId="77777777" w:rsidR="00CB6A2B" w:rsidRPr="00CB6A2B" w:rsidRDefault="00CB6A2B" w:rsidP="00CB6A2B">
      <w:pPr>
        <w:pStyle w:val="Textoindependiente"/>
        <w:rPr>
          <w:lang w:val="es-ES"/>
        </w:rPr>
      </w:pPr>
      <w:r w:rsidRPr="00CB6A2B">
        <w:rPr>
          <w:lang w:val="es-ES"/>
        </w:rPr>
        <w:t>Una vez obtenida la predicción se estima el error cuadrático medio generado por el modelo para poderlo comparar con otros modelos y constatar que la alteración de alguno de los parámetros ha conseguido hacer el modelo más preciso</w:t>
      </w:r>
    </w:p>
    <w:p w14:paraId="4C00DCB9" w14:textId="71E1DF17" w:rsidR="00864275" w:rsidRDefault="00CB6A2B" w:rsidP="00864275">
      <w:pPr>
        <w:pStyle w:val="Textoindependiente"/>
        <w:rPr>
          <w:lang w:val="es-ES"/>
        </w:rPr>
      </w:pPr>
      <w:r w:rsidRPr="00CB6A2B">
        <w:rPr>
          <w:lang w:val="es-ES"/>
        </w:rPr>
        <w:t>Por último, se compara de manera gráfica la predicción con el precio real de apertura para los 3 meses descritos anteriormente.</w:t>
      </w:r>
    </w:p>
    <w:p w14:paraId="01385DA9" w14:textId="77777777" w:rsidR="00864275" w:rsidRDefault="00864275" w:rsidP="00864275">
      <w:pPr>
        <w:pStyle w:val="Textoindependiente"/>
        <w:rPr>
          <w:lang w:val="es-ES"/>
        </w:rPr>
      </w:pPr>
    </w:p>
    <w:p w14:paraId="73ECF328" w14:textId="0B2CAC41" w:rsidR="00424118" w:rsidRDefault="00424118" w:rsidP="00FB54C6">
      <w:pPr>
        <w:pStyle w:val="Textoindependiente"/>
        <w:ind w:firstLine="0pt"/>
        <w:rPr>
          <w:lang w:val="es-ES"/>
        </w:rPr>
      </w:pPr>
      <w:r w:rsidRPr="00424118">
        <w:rPr>
          <w:noProof/>
          <w:lang w:val="es-ES"/>
        </w:rPr>
        <w:drawing>
          <wp:anchor distT="45720" distB="45720" distL="114300" distR="114300" simplePos="0" relativeHeight="251661312" behindDoc="0" locked="0" layoutInCell="1" allowOverlap="1" wp14:anchorId="2152D60B" wp14:editId="7535FB6F">
            <wp:simplePos x="0" y="0"/>
            <wp:positionH relativeFrom="column">
              <wp:align>center</wp:align>
            </wp:positionH>
            <wp:positionV relativeFrom="paragraph">
              <wp:posOffset>182880</wp:posOffset>
            </wp:positionV>
            <wp:extent cx="2360930" cy="1404620"/>
            <wp:effectExtent l="0" t="0" r="22860" b="11430"/>
            <wp:wrapSquare wrapText="bothSides"/>
            <wp:docPr id="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7D7CD13D" w14:textId="36B2180C" w:rsidR="00424118" w:rsidRDefault="00424118">
                        <w:r>
                          <w:rPr>
                            <w:noProof/>
                          </w:rPr>
                          <w:drawing>
                            <wp:inline distT="0" distB="0" distL="0" distR="0" wp14:anchorId="7CCE59CC" wp14:editId="398BAA00">
                              <wp:extent cx="2348865" cy="1623060"/>
                              <wp:effectExtent l="0" t="0" r="0" b="0"/>
                              <wp:docPr id="10" name="Imagen 10" descr="Gráfico, Gráfico de líneas, Histograma&#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n 2" descr="Gráfico, Gráfico de líneas,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865" cy="1623060"/>
                                      </a:xfrm>
                                      <a:prstGeom prst="rect">
                                        <a:avLst/>
                                      </a:prstGeom>
                                      <a:noFill/>
                                      <a:ln>
                                        <a:noFill/>
                                      </a:ln>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1BF58B3" w14:textId="77777777" w:rsidR="00FB54C6" w:rsidRPr="000D6146" w:rsidRDefault="00FB54C6" w:rsidP="00FB54C6">
      <w:pPr>
        <w:pStyle w:val="figurecaption"/>
      </w:pPr>
      <w:r>
        <w:t>Predicción de la red neuronal sobre el precio del bitcoin.</w:t>
      </w:r>
    </w:p>
    <w:p w14:paraId="48F09CE2" w14:textId="77643EF2" w:rsidR="00FB54C6" w:rsidRPr="00864275" w:rsidRDefault="00864275" w:rsidP="00424118">
      <w:pPr>
        <w:pStyle w:val="Textoindependiente"/>
        <w:rPr>
          <w:color w:val="FF0000"/>
          <w:lang w:val="es-ES"/>
        </w:rPr>
      </w:pPr>
      <w:r w:rsidRPr="00864275">
        <w:rPr>
          <w:color w:val="FF0000"/>
          <w:lang w:val="es-ES"/>
        </w:rPr>
        <w:t>Aquí podría comenzar a explicar los distintos modelos que he ido tratando.</w:t>
      </w:r>
    </w:p>
    <w:p w14:paraId="5BCFB895" w14:textId="224F4C2E" w:rsidR="00864275" w:rsidRPr="00864275" w:rsidRDefault="00864275" w:rsidP="00424118">
      <w:pPr>
        <w:pStyle w:val="Textoindependiente"/>
        <w:rPr>
          <w:color w:val="FF0000"/>
          <w:lang w:val="es-ES"/>
        </w:rPr>
      </w:pPr>
      <w:proofErr w:type="spellStart"/>
      <w:r w:rsidRPr="00864275">
        <w:rPr>
          <w:color w:val="FF0000"/>
          <w:lang w:val="es-ES"/>
        </w:rPr>
        <w:t>Ej</w:t>
      </w:r>
      <w:proofErr w:type="spellEnd"/>
      <w:r w:rsidRPr="00864275">
        <w:rPr>
          <w:color w:val="FF0000"/>
          <w:lang w:val="es-ES"/>
        </w:rPr>
        <w:t>: Solo teniendo en cuenta el precio de apertura, de cierre añadiendo un índice…</w:t>
      </w:r>
    </w:p>
    <w:p w14:paraId="10E67A09" w14:textId="77777777" w:rsidR="00864275" w:rsidRPr="00CB6A2B" w:rsidRDefault="00864275" w:rsidP="00424118">
      <w:pPr>
        <w:pStyle w:val="Textoindependiente"/>
        <w:rPr>
          <w:lang w:val="es-ES"/>
        </w:rPr>
      </w:pP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744AC0" w14:textId="77777777">
        <w:trPr>
          <w:cantSplit/>
          <w:trHeight w:val="240"/>
          <w:tblHeader/>
          <w:jc w:val="center"/>
        </w:trPr>
        <w:tc>
          <w:tcPr>
            <w:tcW w:w="36pt" w:type="dxa"/>
            <w:vMerge w:val="restart"/>
            <w:vAlign w:val="center"/>
          </w:tcPr>
          <w:p w14:paraId="3E915C99" w14:textId="77777777" w:rsidR="009303D9" w:rsidRDefault="009303D9">
            <w:pPr>
              <w:pStyle w:val="tablecolhead"/>
            </w:pPr>
            <w:r>
              <w:t>Table Head</w:t>
            </w:r>
          </w:p>
        </w:tc>
        <w:tc>
          <w:tcPr>
            <w:tcW w:w="207pt" w:type="dxa"/>
            <w:gridSpan w:val="3"/>
            <w:vAlign w:val="center"/>
          </w:tcPr>
          <w:p w14:paraId="699A31C5" w14:textId="77777777" w:rsidR="009303D9" w:rsidRDefault="009303D9">
            <w:pPr>
              <w:pStyle w:val="tablecolhead"/>
            </w:pPr>
            <w:r>
              <w:t>Table Column Head</w:t>
            </w:r>
          </w:p>
        </w:tc>
      </w:tr>
      <w:tr w:rsidR="009303D9" w14:paraId="78FD4A64" w14:textId="77777777">
        <w:trPr>
          <w:cantSplit/>
          <w:trHeight w:val="240"/>
          <w:tblHeader/>
          <w:jc w:val="center"/>
        </w:trPr>
        <w:tc>
          <w:tcPr>
            <w:tcW w:w="36pt" w:type="dxa"/>
            <w:vMerge/>
          </w:tcPr>
          <w:p w14:paraId="17648F14" w14:textId="77777777" w:rsidR="009303D9" w:rsidRDefault="009303D9">
            <w:pPr>
              <w:rPr>
                <w:sz w:val="16"/>
                <w:szCs w:val="16"/>
              </w:rPr>
            </w:pPr>
          </w:p>
        </w:tc>
        <w:tc>
          <w:tcPr>
            <w:tcW w:w="117pt" w:type="dxa"/>
            <w:vAlign w:val="center"/>
          </w:tcPr>
          <w:p w14:paraId="07D1B841" w14:textId="77777777" w:rsidR="009303D9" w:rsidRDefault="009303D9">
            <w:pPr>
              <w:pStyle w:val="tablecolsubhead"/>
            </w:pPr>
            <w:r>
              <w:t>Table column subhead</w:t>
            </w:r>
          </w:p>
        </w:tc>
        <w:tc>
          <w:tcPr>
            <w:tcW w:w="45pt" w:type="dxa"/>
            <w:vAlign w:val="center"/>
          </w:tcPr>
          <w:p w14:paraId="13963BC1" w14:textId="77777777" w:rsidR="009303D9" w:rsidRDefault="009303D9">
            <w:pPr>
              <w:pStyle w:val="tablecolsubhead"/>
            </w:pPr>
            <w:r>
              <w:t>Subhead</w:t>
            </w:r>
          </w:p>
        </w:tc>
        <w:tc>
          <w:tcPr>
            <w:tcW w:w="45pt" w:type="dxa"/>
            <w:vAlign w:val="center"/>
          </w:tcPr>
          <w:p w14:paraId="057F200D" w14:textId="77777777" w:rsidR="009303D9" w:rsidRDefault="009303D9">
            <w:pPr>
              <w:pStyle w:val="tablecolsubhead"/>
            </w:pPr>
            <w:r>
              <w:t>Subhead</w:t>
            </w:r>
          </w:p>
        </w:tc>
      </w:tr>
      <w:tr w:rsidR="009303D9" w14:paraId="6604A962" w14:textId="77777777">
        <w:trPr>
          <w:trHeight w:val="320"/>
          <w:jc w:val="center"/>
        </w:trPr>
        <w:tc>
          <w:tcPr>
            <w:tcW w:w="36pt" w:type="dxa"/>
            <w:vAlign w:val="center"/>
          </w:tcPr>
          <w:p w14:paraId="281BDCF5" w14:textId="77777777" w:rsidR="009303D9" w:rsidRDefault="009303D9">
            <w:pPr>
              <w:pStyle w:val="tablecopy"/>
              <w:rPr>
                <w:sz w:val="8"/>
                <w:szCs w:val="8"/>
              </w:rPr>
            </w:pPr>
            <w:r>
              <w:t>copy</w:t>
            </w:r>
          </w:p>
        </w:tc>
        <w:tc>
          <w:tcPr>
            <w:tcW w:w="117pt" w:type="dxa"/>
            <w:vAlign w:val="center"/>
          </w:tcPr>
          <w:p w14:paraId="4FF87BF1" w14:textId="77777777" w:rsidR="009303D9" w:rsidRDefault="009303D9">
            <w:pPr>
              <w:pStyle w:val="tablecopy"/>
            </w:pPr>
            <w:r>
              <w:t>More table copy</w:t>
            </w:r>
            <w:r>
              <w:rPr>
                <w:vertAlign w:val="superscript"/>
              </w:rPr>
              <w:t>a</w:t>
            </w:r>
          </w:p>
        </w:tc>
        <w:tc>
          <w:tcPr>
            <w:tcW w:w="45pt" w:type="dxa"/>
            <w:vAlign w:val="center"/>
          </w:tcPr>
          <w:p w14:paraId="0AB7BDB2" w14:textId="77777777" w:rsidR="009303D9" w:rsidRDefault="009303D9">
            <w:pPr>
              <w:rPr>
                <w:sz w:val="16"/>
                <w:szCs w:val="16"/>
              </w:rPr>
            </w:pPr>
          </w:p>
        </w:tc>
        <w:tc>
          <w:tcPr>
            <w:tcW w:w="45pt" w:type="dxa"/>
            <w:vAlign w:val="center"/>
          </w:tcPr>
          <w:p w14:paraId="45F513C8" w14:textId="77777777" w:rsidR="009303D9" w:rsidRDefault="009303D9">
            <w:pPr>
              <w:rPr>
                <w:sz w:val="16"/>
                <w:szCs w:val="16"/>
              </w:rPr>
            </w:pPr>
          </w:p>
        </w:tc>
      </w:tr>
    </w:tbl>
    <w:p w14:paraId="5BE30A9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1B0619" w14:textId="395285EB" w:rsidR="005B0344" w:rsidRPr="000D6146"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E8565F" w14:textId="65D9BA8A" w:rsidR="000D6146" w:rsidRDefault="000D6146" w:rsidP="000D6146">
      <w:pPr>
        <w:pStyle w:val="Ttulo1"/>
      </w:pPr>
      <w:r>
        <w:t>Conclusiones</w:t>
      </w:r>
    </w:p>
    <w:p w14:paraId="6CD63492" w14:textId="257584E0" w:rsidR="000D6146" w:rsidRPr="00FB54C6" w:rsidRDefault="000D6146" w:rsidP="000D6146">
      <w:pPr>
        <w:pStyle w:val="Textoindependiente"/>
        <w:rPr>
          <w:color w:val="FF0000"/>
          <w:lang w:val="es-ES"/>
        </w:rPr>
      </w:pPr>
      <w:r w:rsidRPr="00FB54C6">
        <w:rPr>
          <w:color w:val="FF0000"/>
          <w:lang w:val="es-ES"/>
        </w:rPr>
        <w:t>Falta rellenar esta sección</w:t>
      </w:r>
    </w:p>
    <w:sdt>
      <w:sdtPr>
        <w:rPr>
          <w:smallCaps w:val="0"/>
          <w:noProof w:val="0"/>
          <w:lang w:val="es-ES"/>
        </w:rPr>
        <w:id w:val="-967038595"/>
        <w:docPartObj>
          <w:docPartGallery w:val="Bibliographies"/>
          <w:docPartUnique/>
        </w:docPartObj>
      </w:sdtPr>
      <w:sdtEndPr>
        <w:rPr>
          <w:lang w:val="en-US"/>
        </w:rPr>
      </w:sdtEndPr>
      <w:sdtContent>
        <w:p w14:paraId="2292C4CE" w14:textId="39817A46" w:rsidR="000C77FA" w:rsidRDefault="000D6146" w:rsidP="000D6146">
          <w:pPr>
            <w:pStyle w:val="Ttulo5"/>
          </w:pPr>
          <w:r w:rsidRPr="005B520E">
            <w:t>Refe</w:t>
          </w:r>
          <w:r>
            <w:t>rencias</w:t>
          </w:r>
        </w:p>
        <w:sdt>
          <w:sdtPr>
            <w:id w:val="111145805"/>
            <w:bibliography/>
          </w:sdtPr>
          <w:sdtEndPr/>
          <w:sdtContent>
            <w:p w14:paraId="0995C34A" w14:textId="77777777" w:rsidR="000C77FA" w:rsidRDefault="000C77FA">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262"/>
                <w:gridCol w:w="4604"/>
              </w:tblGrid>
              <w:tr w:rsidR="000C77FA" w14:paraId="6E96BA14" w14:textId="77777777">
                <w:trPr>
                  <w:divId w:val="611590712"/>
                  <w:tblCellSpacing w:w="0.75pt" w:type="dxa"/>
                </w:trPr>
                <w:tc>
                  <w:tcPr>
                    <w:tcW w:w="1.0%" w:type="pct"/>
                    <w:hideMark/>
                  </w:tcPr>
                  <w:p w14:paraId="431D4072" w14:textId="49241DBD" w:rsidR="000C77FA" w:rsidRPr="000C77FA" w:rsidRDefault="000C77FA">
                    <w:pPr>
                      <w:pStyle w:val="Bibliografa"/>
                      <w:rPr>
                        <w:noProof/>
                        <w:sz w:val="16"/>
                        <w:szCs w:val="16"/>
                      </w:rPr>
                    </w:pPr>
                    <w:r w:rsidRPr="000C77FA">
                      <w:rPr>
                        <w:noProof/>
                        <w:sz w:val="16"/>
                        <w:szCs w:val="16"/>
                      </w:rPr>
                      <w:t xml:space="preserve">[1] </w:t>
                    </w:r>
                  </w:p>
                </w:tc>
                <w:tc>
                  <w:tcPr>
                    <w:tcW w:w="0pt" w:type="dxa"/>
                    <w:hideMark/>
                  </w:tcPr>
                  <w:p w14:paraId="543E2177" w14:textId="373CADB1" w:rsidR="000C77FA" w:rsidRPr="000C77FA" w:rsidRDefault="000C77FA">
                    <w:pPr>
                      <w:pStyle w:val="Bibliografa"/>
                      <w:rPr>
                        <w:noProof/>
                        <w:sz w:val="16"/>
                        <w:szCs w:val="16"/>
                      </w:rPr>
                    </w:pPr>
                    <w:r w:rsidRPr="000C77FA">
                      <w:rPr>
                        <w:noProof/>
                        <w:sz w:val="16"/>
                        <w:szCs w:val="16"/>
                      </w:rPr>
                      <w:t>F. Fernández, «CriptoNoticias» 18 Noviembre 2021. [En línea]. Available: https://www.criptonoticias.com/finanzas/aumenta-correlacion-bitcoin-acciones-sp-500/. [Último acceso: 30 Abril 2022].</w:t>
                    </w:r>
                  </w:p>
                </w:tc>
              </w:tr>
            </w:tbl>
            <w:p w14:paraId="276D8807" w14:textId="77777777" w:rsidR="000C77FA" w:rsidRDefault="000C77FA">
              <w:pPr>
                <w:divId w:val="611590712"/>
                <w:rPr>
                  <w:rFonts w:eastAsia="Times New Roman"/>
                  <w:noProof/>
                </w:rPr>
              </w:pPr>
            </w:p>
            <w:p w14:paraId="7394C9AE" w14:textId="107BAA42" w:rsidR="000C77FA" w:rsidRDefault="000C77FA">
              <w:r>
                <w:rPr>
                  <w:b/>
                  <w:bCs/>
                </w:rPr>
                <w:fldChar w:fldCharType="end"/>
              </w:r>
            </w:p>
          </w:sdtContent>
        </w:sdt>
      </w:sdtContent>
    </w:sdt>
    <w:p w14:paraId="3A712B31" w14:textId="77777777" w:rsidR="000C77FA" w:rsidRDefault="000C77FA" w:rsidP="000C77FA">
      <w:pPr>
        <w:pStyle w:val="references"/>
        <w:numPr>
          <w:ilvl w:val="0"/>
          <w:numId w:val="0"/>
        </w:numPr>
        <w:ind w:start="17.70pt"/>
      </w:pPr>
    </w:p>
    <w:p w14:paraId="7FC1D912" w14:textId="77777777" w:rsidR="009303D9" w:rsidRDefault="009303D9" w:rsidP="00836367">
      <w:pPr>
        <w:pStyle w:val="references"/>
        <w:numPr>
          <w:ilvl w:val="0"/>
          <w:numId w:val="0"/>
        </w:numPr>
        <w:ind w:start="18pt" w:hanging="18pt"/>
      </w:pPr>
    </w:p>
    <w:p w14:paraId="4AB173CF" w14:textId="58AFA25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B4B82D" w14:textId="26F8FAA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0B88ED" w14:textId="77777777" w:rsidR="007D19F2" w:rsidRDefault="007D19F2" w:rsidP="001A3B3D">
      <w:r>
        <w:separator/>
      </w:r>
    </w:p>
  </w:endnote>
  <w:endnote w:type="continuationSeparator" w:id="0">
    <w:p w14:paraId="6CA21567" w14:textId="77777777" w:rsidR="007D19F2" w:rsidRDefault="007D19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4D355F"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EE2D05" w14:textId="77777777" w:rsidR="007D19F2" w:rsidRDefault="007D19F2" w:rsidP="001A3B3D">
      <w:r>
        <w:separator/>
      </w:r>
    </w:p>
  </w:footnote>
  <w:footnote w:type="continuationSeparator" w:id="0">
    <w:p w14:paraId="7CC92F7C" w14:textId="77777777" w:rsidR="007D19F2" w:rsidRDefault="007D19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3BC33D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6460F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FF4501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F5AA371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CE88F808"/>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A06B42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49A74E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2C261DC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B4A57B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6BA289DC"/>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73372417">
    <w:abstractNumId w:val="14"/>
  </w:num>
  <w:num w:numId="2" w16cid:durableId="341979804">
    <w:abstractNumId w:val="19"/>
  </w:num>
  <w:num w:numId="3" w16cid:durableId="1340505278">
    <w:abstractNumId w:val="13"/>
  </w:num>
  <w:num w:numId="4" w16cid:durableId="247348516">
    <w:abstractNumId w:val="16"/>
  </w:num>
  <w:num w:numId="5" w16cid:durableId="1550415663">
    <w:abstractNumId w:val="16"/>
  </w:num>
  <w:num w:numId="6" w16cid:durableId="648290740">
    <w:abstractNumId w:val="16"/>
  </w:num>
  <w:num w:numId="7" w16cid:durableId="1614089754">
    <w:abstractNumId w:val="16"/>
  </w:num>
  <w:num w:numId="8" w16cid:durableId="1076438227">
    <w:abstractNumId w:val="18"/>
  </w:num>
  <w:num w:numId="9" w16cid:durableId="1776904198">
    <w:abstractNumId w:val="20"/>
  </w:num>
  <w:num w:numId="10" w16cid:durableId="1873110113">
    <w:abstractNumId w:val="15"/>
  </w:num>
  <w:num w:numId="11" w16cid:durableId="1772041745">
    <w:abstractNumId w:val="12"/>
  </w:num>
  <w:num w:numId="12" w16cid:durableId="1924223836">
    <w:abstractNumId w:val="11"/>
  </w:num>
  <w:num w:numId="13" w16cid:durableId="1348363988">
    <w:abstractNumId w:val="0"/>
  </w:num>
  <w:num w:numId="14" w16cid:durableId="1702239485">
    <w:abstractNumId w:val="10"/>
  </w:num>
  <w:num w:numId="15" w16cid:durableId="1701784283">
    <w:abstractNumId w:val="8"/>
  </w:num>
  <w:num w:numId="16" w16cid:durableId="196433001">
    <w:abstractNumId w:val="7"/>
  </w:num>
  <w:num w:numId="17" w16cid:durableId="487475688">
    <w:abstractNumId w:val="6"/>
  </w:num>
  <w:num w:numId="18" w16cid:durableId="480662974">
    <w:abstractNumId w:val="5"/>
  </w:num>
  <w:num w:numId="19" w16cid:durableId="651954470">
    <w:abstractNumId w:val="9"/>
  </w:num>
  <w:num w:numId="20" w16cid:durableId="1565290874">
    <w:abstractNumId w:val="4"/>
  </w:num>
  <w:num w:numId="21" w16cid:durableId="77757316">
    <w:abstractNumId w:val="3"/>
  </w:num>
  <w:num w:numId="22" w16cid:durableId="727269922">
    <w:abstractNumId w:val="2"/>
  </w:num>
  <w:num w:numId="23" w16cid:durableId="121503815">
    <w:abstractNumId w:val="1"/>
  </w:num>
  <w:num w:numId="24" w16cid:durableId="89785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1ED6"/>
    <w:rsid w:val="000C77FA"/>
    <w:rsid w:val="000D6146"/>
    <w:rsid w:val="0011589F"/>
    <w:rsid w:val="001A2EFD"/>
    <w:rsid w:val="001A3B3D"/>
    <w:rsid w:val="001B67DC"/>
    <w:rsid w:val="00216965"/>
    <w:rsid w:val="002254A9"/>
    <w:rsid w:val="00233D97"/>
    <w:rsid w:val="002347A2"/>
    <w:rsid w:val="002850E3"/>
    <w:rsid w:val="0035407E"/>
    <w:rsid w:val="00354FCF"/>
    <w:rsid w:val="003A19E2"/>
    <w:rsid w:val="003B2B40"/>
    <w:rsid w:val="003B4E04"/>
    <w:rsid w:val="003F5A08"/>
    <w:rsid w:val="00420716"/>
    <w:rsid w:val="00424118"/>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45E07"/>
    <w:rsid w:val="00651A08"/>
    <w:rsid w:val="00654204"/>
    <w:rsid w:val="00670434"/>
    <w:rsid w:val="006872CE"/>
    <w:rsid w:val="006B6B66"/>
    <w:rsid w:val="006F6D3D"/>
    <w:rsid w:val="00715BEA"/>
    <w:rsid w:val="00740EEA"/>
    <w:rsid w:val="00794804"/>
    <w:rsid w:val="007B33F1"/>
    <w:rsid w:val="007B6DDA"/>
    <w:rsid w:val="007C0308"/>
    <w:rsid w:val="007C2FF2"/>
    <w:rsid w:val="007C4532"/>
    <w:rsid w:val="007D19F2"/>
    <w:rsid w:val="007D6232"/>
    <w:rsid w:val="007F1F99"/>
    <w:rsid w:val="007F768F"/>
    <w:rsid w:val="0080791D"/>
    <w:rsid w:val="00836367"/>
    <w:rsid w:val="00864275"/>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B6A2B"/>
    <w:rsid w:val="00CC393F"/>
    <w:rsid w:val="00D2176E"/>
    <w:rsid w:val="00D632BE"/>
    <w:rsid w:val="00D72D06"/>
    <w:rsid w:val="00D7522C"/>
    <w:rsid w:val="00D7536F"/>
    <w:rsid w:val="00D76668"/>
    <w:rsid w:val="00DF6BC7"/>
    <w:rsid w:val="00E07383"/>
    <w:rsid w:val="00E165BC"/>
    <w:rsid w:val="00E51C05"/>
    <w:rsid w:val="00E61E12"/>
    <w:rsid w:val="00E7596C"/>
    <w:rsid w:val="00E878F2"/>
    <w:rsid w:val="00ED0149"/>
    <w:rsid w:val="00EF00E2"/>
    <w:rsid w:val="00EF7DE3"/>
    <w:rsid w:val="00F03103"/>
    <w:rsid w:val="00F271DE"/>
    <w:rsid w:val="00F627DA"/>
    <w:rsid w:val="00F7288F"/>
    <w:rsid w:val="00F847A6"/>
    <w:rsid w:val="00F9441B"/>
    <w:rsid w:val="00FA4C32"/>
    <w:rsid w:val="00FB54C6"/>
    <w:rsid w:val="00FD52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433F6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nfasis">
    <w:name w:val="Emphasis"/>
    <w:basedOn w:val="Fuentedeprrafopredeter"/>
    <w:qFormat/>
    <w:rsid w:val="006872CE"/>
    <w:rPr>
      <w:i/>
      <w:iCs/>
    </w:rPr>
  </w:style>
  <w:style w:type="character" w:customStyle="1" w:styleId="Ttulo1Car">
    <w:name w:val="Título 1 Car"/>
    <w:basedOn w:val="Fuentedeprrafopredeter"/>
    <w:link w:val="Ttulo1"/>
    <w:uiPriority w:val="9"/>
    <w:rsid w:val="000C77FA"/>
    <w:rPr>
      <w:smallCaps/>
      <w:noProof/>
    </w:rPr>
  </w:style>
  <w:style w:type="paragraph" w:styleId="Bibliografa">
    <w:name w:val="Bibliography"/>
    <w:basedOn w:val="Normal"/>
    <w:next w:val="Normal"/>
    <w:uiPriority w:val="37"/>
    <w:unhideWhenUsed/>
    <w:rsid w:val="000C77F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0712">
      <w:bodyDiv w:val="1"/>
      <w:marLeft w:val="0pt"/>
      <w:marRight w:val="0pt"/>
      <w:marTop w:val="0pt"/>
      <w:marBottom w:val="0pt"/>
      <w:divBdr>
        <w:top w:val="none" w:sz="0" w:space="0" w:color="auto"/>
        <w:left w:val="none" w:sz="0" w:space="0" w:color="auto"/>
        <w:bottom w:val="none" w:sz="0" w:space="0" w:color="auto"/>
        <w:right w:val="none" w:sz="0" w:space="0" w:color="auto"/>
      </w:divBdr>
    </w:div>
    <w:div w:id="1156066400">
      <w:bodyDiv w:val="1"/>
      <w:marLeft w:val="0pt"/>
      <w:marRight w:val="0pt"/>
      <w:marTop w:val="0pt"/>
      <w:marBottom w:val="0pt"/>
      <w:divBdr>
        <w:top w:val="none" w:sz="0" w:space="0" w:color="auto"/>
        <w:left w:val="none" w:sz="0" w:space="0" w:color="auto"/>
        <w:bottom w:val="none" w:sz="0" w:space="0" w:color="auto"/>
        <w:right w:val="none" w:sz="0" w:space="0" w:color="auto"/>
      </w:divBdr>
    </w:div>
    <w:div w:id="1765297327">
      <w:bodyDiv w:val="1"/>
      <w:marLeft w:val="0pt"/>
      <w:marRight w:val="0pt"/>
      <w:marTop w:val="0pt"/>
      <w:marBottom w:val="0pt"/>
      <w:divBdr>
        <w:top w:val="none" w:sz="0" w:space="0" w:color="auto"/>
        <w:left w:val="none" w:sz="0" w:space="0" w:color="auto"/>
        <w:bottom w:val="none" w:sz="0" w:space="0" w:color="auto"/>
        <w:right w:val="none" w:sz="0" w:space="0" w:color="auto"/>
      </w:divBdr>
    </w:div>
    <w:div w:id="20794758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Fro21</b:Tag>
    <b:SourceType>InternetSite</b:SourceType>
    <b:Guid>{4EFE54B9-076C-4B09-9743-81B46AF1D1EF}</b:Guid>
    <b:Author>
      <b:Author>
        <b:NameList>
          <b:Person>
            <b:Last>Fernández</b:Last>
            <b:First>Froilan</b:First>
          </b:Person>
        </b:NameList>
      </b:Author>
    </b:Author>
    <b:Title>CriptoNoticias</b:Title>
    <b:Year>2021</b:Year>
    <b:Month>Noviembre</b:Month>
    <b:Day>18</b:Day>
    <b:YearAccessed>2022</b:YearAccessed>
    <b:MonthAccessed>Abril</b:MonthAccessed>
    <b:DayAccessed>30</b:DayAccessed>
    <b:URL>https://www.criptonoticias.com/finanzas/aumenta-correlacion-bitcoin-acciones-sp-500/</b:URL>
    <b:RefOrder>1</b:RefOrder>
  </b:Source>
</b:Sources>
</file>

<file path=customXml/itemProps1.xml><?xml version="1.0" encoding="utf-8"?>
<ds:datastoreItem xmlns:ds="http://purl.oclc.org/ooxml/officeDocument/customXml" ds:itemID="{BEAFC012-EB17-4B99-B62D-523A86161D9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TotalTime>
  <Pages>1</Pages>
  <Words>722</Words>
  <Characters>3972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 Ramos Hoogwout</cp:lastModifiedBy>
  <cp:revision>11</cp:revision>
  <dcterms:created xsi:type="dcterms:W3CDTF">2022-04-30T09:37:00Z</dcterms:created>
  <dcterms:modified xsi:type="dcterms:W3CDTF">2022-05-01T20:13:00Z</dcterms:modified>
</cp:coreProperties>
</file>