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1334"/>
        <w:gridCol w:w="3827"/>
        <w:gridCol w:w="1417"/>
        <w:gridCol w:w="1503"/>
        <w:tblGridChange w:id="0">
          <w:tblGrid>
            <w:gridCol w:w="1912"/>
            <w:gridCol w:w="1334"/>
            <w:gridCol w:w="3827"/>
            <w:gridCol w:w="1417"/>
            <w:gridCol w:w="15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21-10-2024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21-10-2024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21-10-2024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la revisión y mejora del diseño de la página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Pruebas internas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avances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esta etapa, se integró Django, permitiendo la transición de un sistema estático a uno dinámico. Las tareas completadas incluyen:</w:t>
            </w:r>
          </w:p>
          <w:p w:rsidR="00000000" w:rsidDel="00000000" w:rsidP="00000000" w:rsidRDefault="00000000" w:rsidRPr="00000000" w14:paraId="00000034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Configuraciones iniciales: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modelo de datos de categorías y usuarios.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Encriptación de contraseñas mediante hash.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Poblar la base de datos con las categorías.</w:t>
            </w:r>
          </w:p>
          <w:p w:rsidR="00000000" w:rsidDel="00000000" w:rsidP="00000000" w:rsidRDefault="00000000" w:rsidRPr="00000000" w14:paraId="00000038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 aplicación Store (tienda):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y creación del modelo de datos de productos.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Población de productos.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Listar productos en la homepage y la tienda.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Filtrado por categoría.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detalle del producto con mejoras en su diseño.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de stock.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Paginación y búsqueda en la tienda.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modelo de datos para variantes de productos.</w:t>
            </w:r>
          </w:p>
          <w:p w:rsidR="00000000" w:rsidDel="00000000" w:rsidP="00000000" w:rsidRDefault="00000000" w:rsidRPr="00000000" w14:paraId="00000041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Carrito de compras: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la aplicación Cart.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mejorado de la página.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modelos de datos para Cart y Cart_items.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Funcionalidades completas del carrito (agregar, modificar y eliminar productos).</w:t>
            </w:r>
          </w:p>
          <w:p w:rsidR="00000000" w:rsidDel="00000000" w:rsidP="00000000" w:rsidRDefault="00000000" w:rsidRPr="00000000" w14:paraId="00000046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formularios para registro e inicio de sesión.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mensajes de alerta.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Activación de cuentas mediante correo electrónico.</w:t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Restablecimiento de contraseña.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Validaciones a través de correo electrónico.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vista y funcionalidades para el perfil de usuario.</w:t>
            </w:r>
          </w:p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vistas para la administración de productos, categorías y pedidos.</w:t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CRUD para productos y categorías.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Listado, búsqueda y paginación de pedidos.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 para cambiar el estado de pedidos y eliminarlos.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1535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lFpg36XI7dV8BJCKC+HQLmyQA==">CgMxLjAyCGguZ2pkZ3hzOAByITE1N3Y5SkhWeW5GTXZOQ0JNUVlfTWM5RjF0Z2h4QXRhcA==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