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20-11-2024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4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Sprint 4 se centró en completar las funcionalidades clave del sistema, como la generación de reportes de ventas, la optimización de la experiencia del cliente y la integración de pagos con Transbank/Webpay. Durante este sprint, se resolvieron varios bloqueos, se realizaron pruebas exhaustivas de integración y se optimizó el rendimiento del sitio, asegurando que las funcionalidades del carrito de compras y el proceso de pago estuvieran completamente operativas. Las tareas de desarrollo y pruebas fueron completadas a tiempo, y el equipo logró cumplir con los objetivos del sprint, dejando el sistema listo para la fase de lanzamiento.</w:t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kgoD6D01m63jKLXTutjzRBlGQ==">CgMxLjA4AHIhMTNrSklONkFVSTRjcWZOczhOV05DS19mMDk5b010a3gz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