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MCDA.drugis.org tutorials </w:t>
      </w:r>
    </w:p>
    <w:p>
      <w:pPr>
        <w:pStyle w:val="Heading1"/>
        <w:rPr>
          <w:rFonts w:ascii="Cambria" w:hAnsi="Cambria"/>
        </w:rPr>
      </w:pPr>
      <w:r>
        <w:rPr>
          <w:rFonts w:ascii="Cambria" w:hAnsi="Cambria"/>
        </w:rPr>
        <w:t>Background</w:t>
      </w:r>
    </w:p>
    <w:p>
      <w:pPr>
        <w:pStyle w:val="Normal"/>
        <w:rPr>
          <w:rFonts w:ascii="Calibri" w:hAnsi="Calibri"/>
        </w:rPr>
      </w:pPr>
      <w:r>
        <w:rPr>
          <w:rFonts w:ascii="Calibri" w:hAnsi="Calibri"/>
        </w:rPr>
        <w:t>The Multicriteria Decision Analysis (MCDA) process is a quantitative approach to benefit-risk analysis which is useful whenever consensus needs to be reached about the comparative value of several alternatives, e.g. medical treatments. Without such an approach reaching consensus is often difficult, because different people may attach different importance to treatments' effects. Such preferential differences become an obstacle to meaningful and constructive discussion if they are left unquantified. In contrast, if someone has reached a different conclusion than you but has quantified their preferences, you can immediately see what underlies their conclusion, and how large the difference to your preferences is. This yields common, concrete grounds for discussion and makes clear where disagreements originate.</w:t>
      </w:r>
    </w:p>
    <w:p>
      <w:pPr>
        <w:pStyle w:val="Normal"/>
        <w:rPr>
          <w:rFonts w:ascii="Calibri" w:hAnsi="Calibri"/>
        </w:rPr>
      </w:pPr>
      <w:r>
        <w:rPr>
          <w:rFonts w:ascii="Calibri" w:hAnsi="Calibri"/>
        </w:rPr>
      </w:r>
    </w:p>
    <w:p>
      <w:pPr>
        <w:pStyle w:val="Normal"/>
        <w:rPr>
          <w:rFonts w:ascii="Calibri" w:hAnsi="Calibri"/>
        </w:rPr>
      </w:pPr>
      <w:r>
        <w:rPr>
          <w:rFonts w:ascii="Calibri" w:hAnsi="Calibri"/>
        </w:rPr>
        <w:t>Examples of situations where MCDA can be of great value are the regulatory process, HTA agencies and even doctors and patients that have specific requirements for a treatment.</w:t>
      </w:r>
    </w:p>
    <w:p>
      <w:pPr>
        <w:pStyle w:val="Normal"/>
        <w:rPr>
          <w:rFonts w:ascii="Calibri" w:hAnsi="Calibri"/>
        </w:rPr>
      </w:pPr>
      <w:r>
        <w:rPr>
          <w:rFonts w:ascii="Calibri" w:hAnsi="Calibri"/>
          <w:lang w:val="en-GB"/>
        </w:rPr>
        <w:t>For more theoretical background on MCDA benefit-risk analysis, see https://mcda.drugis.org/manual.html#mcda-benefit-risk-analysis</w:t>
      </w:r>
    </w:p>
    <w:p>
      <w:pPr>
        <w:pStyle w:val="Normal"/>
        <w:rPr>
          <w:rFonts w:ascii="Calibri" w:hAnsi="Calibri"/>
        </w:rPr>
      </w:pPr>
      <w:r>
        <w:rPr>
          <w:rFonts w:ascii="Calibri" w:hAnsi="Calibri"/>
          <w:lang w:val="en-GB"/>
        </w:rPr>
        <w:t xml:space="preserve">Actions to perform are indicated with </w:t>
      </w:r>
      <w:r>
        <w:rPr>
          <w:rFonts w:ascii="Calibri" w:hAnsi="Calibri"/>
          <w:b/>
          <w:bCs/>
          <w:lang w:val="en-GB"/>
        </w:rPr>
        <w:t>👉</w:t>
      </w:r>
    </w:p>
    <w:p>
      <w:pPr>
        <w:pStyle w:val="Normal"/>
        <w:rPr/>
      </w:pPr>
      <w:r>
        <w:rPr>
          <w:rFonts w:ascii="Calibri" w:hAnsi="Calibri"/>
          <w:lang w:val="en-GB"/>
        </w:rPr>
        <w:t xml:space="preserve">Tips and reminders are indicated with </w:t>
      </w:r>
      <w:r>
        <w:rPr>
          <w:b/>
          <w:bCs/>
          <w:lang w:val="en-GB"/>
        </w:rPr>
        <w:t>💡</w:t>
      </w:r>
    </w:p>
    <w:p>
      <w:pPr>
        <w:pStyle w:val="Normal"/>
        <w:rPr/>
      </w:pPr>
      <w:r>
        <w:rPr>
          <w:rFonts w:ascii="Calibri" w:hAnsi="Calibri"/>
          <w:lang w:val="en-GB"/>
        </w:rPr>
        <w:t xml:space="preserve">Theoretical background and explanations are indicated with </w:t>
      </w:r>
      <w:r>
        <w:rPr>
          <w:b/>
          <w:bCs/>
          <w:lang w:val="en-GB"/>
        </w:rPr>
        <w:t>🎓</w:t>
      </w:r>
    </w:p>
    <w:p>
      <w:pPr>
        <w:pStyle w:val="Heading1"/>
        <w:rPr/>
      </w:pPr>
      <w:r>
        <w:rPr>
          <w:lang w:val="en-GB"/>
        </w:rPr>
        <w:t xml:space="preserve">Tutorial: </w:t>
      </w:r>
      <w:r>
        <w:rPr>
          <w:lang w:val="en-GB"/>
        </w:rPr>
        <w:t>Manual data entry</w:t>
      </w:r>
    </w:p>
    <w:p>
      <w:pPr>
        <w:pStyle w:val="Normal"/>
        <w:rPr/>
      </w:pPr>
      <w:r>
        <w:rPr>
          <w:lang w:val="en-GB"/>
        </w:rPr>
        <w:t xml:space="preserve">This tutorial guides you through the process of creating a </w:t>
      </w:r>
      <w:r>
        <w:rPr>
          <w:lang w:val="en-GB"/>
        </w:rPr>
        <w:t xml:space="preserve">workspace with data from an </w:t>
      </w:r>
      <w:r>
        <w:rPr>
          <w:lang w:val="en-GB"/>
        </w:rPr>
        <w:t xml:space="preserve">existing report, so that you can use it </w:t>
      </w:r>
      <w:r>
        <w:rPr>
          <w:lang w:val="en-GB"/>
        </w:rPr>
        <w:t xml:space="preserve">to create an effects table and perform benefit-risk </w:t>
      </w:r>
      <w:r>
        <w:rPr>
          <w:lang w:val="en-GB"/>
        </w:rPr>
        <w:t xml:space="preserve">analyses. </w:t>
      </w:r>
      <w:r>
        <w:rPr>
          <w:lang w:val="en-GB"/>
        </w:rPr>
        <w:t>Performing these</w:t>
      </w:r>
      <w:r>
        <w:rPr>
          <w:lang w:val="en-GB"/>
        </w:rPr>
        <w:t xml:space="preserve"> analyses </w:t>
      </w:r>
      <w:r>
        <w:rPr>
          <w:lang w:val="en-GB"/>
        </w:rPr>
        <w:t xml:space="preserve">is covered in </w:t>
      </w:r>
      <w:r>
        <w:rPr>
          <w:lang w:val="en-GB"/>
        </w:rPr>
        <w:t>later tutorials.</w:t>
      </w:r>
    </w:p>
    <w:p>
      <w:pPr>
        <w:pStyle w:val="Normal"/>
        <w:rPr/>
      </w:pPr>
      <w:r>
        <w:rPr>
          <w:lang w:val="en-GB"/>
        </w:rPr>
        <w:t xml:space="preserve">Our example (Table 1) is </w:t>
      </w:r>
      <w:r>
        <w:rPr>
          <w:lang w:val="en-GB"/>
        </w:rPr>
        <w:t xml:space="preserve">a simplified version of the effects table for </w:t>
      </w:r>
      <w:r>
        <w:rPr>
          <w:lang w:val="en-GB"/>
        </w:rPr>
        <w:t xml:space="preserve">lixisenatide </w:t>
      </w:r>
      <w:r>
        <w:rPr>
          <w:lang w:val="en-GB"/>
        </w:rPr>
        <w:t>as shown in the</w:t>
      </w:r>
      <w:r>
        <w:rPr>
          <w:lang w:val="en-GB"/>
        </w:rPr>
        <w:t xml:space="preserve"> </w:t>
      </w:r>
      <w:hyperlink r:id="rId2">
        <w:r>
          <w:rPr>
            <w:rStyle w:val="InternetLink"/>
            <w:lang w:val="en-GB"/>
          </w:rPr>
          <w:t xml:space="preserve">EMA Guidance document </w:t>
        </w:r>
        <w:r>
          <w:rPr>
            <w:rStyle w:val="InternetLink"/>
            <w:lang w:val="en-GB"/>
          </w:rPr>
          <w:t xml:space="preserve">for </w:t>
        </w:r>
        <w:r>
          <w:rPr>
            <w:rStyle w:val="InternetLink"/>
            <w:lang w:val="en-GB"/>
          </w:rPr>
          <w:t>critical assessment report</w:t>
        </w:r>
        <w:r>
          <w:rPr>
            <w:rStyle w:val="InternetLink"/>
            <w:lang w:val="en-GB"/>
          </w:rPr>
          <w:t>s</w:t>
        </w:r>
      </w:hyperlink>
      <w:r>
        <w:rPr>
          <w:lang w:val="en-GB"/>
        </w:rPr>
        <w:t xml:space="preserve"> </w:t>
      </w:r>
      <w:r>
        <w:rPr>
          <w:lang w:val="en-GB"/>
        </w:rPr>
        <w:t>(see page 72)</w:t>
      </w:r>
      <w:r>
        <w:rPr>
          <w:lang w:val="en-GB"/>
        </w:rPr>
        <w:t xml:space="preserve">. </w:t>
      </w:r>
      <w:r>
        <w:rPr>
          <w:lang w:val="en-GB"/>
        </w:rPr>
        <w:t xml:space="preserve"> </w:t>
      </w:r>
      <w:r>
        <w:rPr>
          <w:lang w:val="en-GB"/>
        </w:rPr>
        <w:t xml:space="preserve">Since lixisenatide is </w:t>
      </w:r>
      <w:r>
        <w:rPr>
          <w:lang w:val="en-GB"/>
        </w:rPr>
        <w:t xml:space="preserve">a treatment for type 2 diabetes </w:t>
      </w:r>
      <w:r>
        <w:rPr>
          <w:lang w:val="en-GB"/>
        </w:rPr>
        <w:t>we choose the common primary endpoint (HbA1c change) and a common adverse event (Nausea) as our criteria.</w:t>
      </w:r>
    </w:p>
    <w:p>
      <w:pPr>
        <w:pStyle w:val="Caption1"/>
        <w:keepNext w:val="true"/>
        <w:rPr/>
      </w:pPr>
      <w:r>
        <w:rPr>
          <w:sz w:val="24"/>
          <w:szCs w:val="24"/>
          <w:lang w:val="en-GB"/>
        </w:rPr>
        <w:t xml:space="preserve">Table </w:t>
      </w:r>
      <w:r>
        <w:rPr>
          <w:sz w:val="24"/>
          <w:szCs w:val="24"/>
        </w:rPr>
        <w:fldChar w:fldCharType="begin"/>
      </w:r>
      <w:r>
        <w:rPr>
          <w:sz w:val="24"/>
          <w:szCs w:val="24"/>
        </w:rPr>
        <w:instrText> SEQ Table \* ARABIC </w:instrText>
      </w:r>
      <w:r>
        <w:rPr>
          <w:sz w:val="24"/>
          <w:szCs w:val="24"/>
        </w:rPr>
        <w:fldChar w:fldCharType="separate"/>
      </w:r>
      <w:r>
        <w:rPr>
          <w:sz w:val="24"/>
          <w:szCs w:val="24"/>
        </w:rPr>
        <w:t>1</w:t>
      </w:r>
      <w:r>
        <w:rPr>
          <w:sz w:val="24"/>
          <w:szCs w:val="24"/>
        </w:rPr>
        <w:fldChar w:fldCharType="end"/>
      </w:r>
      <w:r>
        <w:rPr>
          <w:sz w:val="24"/>
          <w:szCs w:val="24"/>
          <w:lang w:val="en-GB"/>
        </w:rPr>
        <w:t xml:space="preserve"> - Simplified effects table for lixisenatide</w:t>
      </w:r>
    </w:p>
    <w:tbl>
      <w:tblPr>
        <w:tblW w:w="5000" w:type="pct"/>
        <w:jc w:val="left"/>
        <w:tblInd w:w="-113" w:type="dxa"/>
        <w:tblBorders/>
        <w:tblCellMar>
          <w:top w:w="0" w:type="dxa"/>
          <w:left w:w="113" w:type="dxa"/>
          <w:bottom w:w="0" w:type="dxa"/>
          <w:right w:w="108" w:type="dxa"/>
        </w:tblCellMar>
        <w:tblLook w:firstRow="1" w:noVBand="0" w:lastRow="0" w:firstColumn="1" w:lastColumn="0" w:noHBand="0" w:val="00a0"/>
      </w:tblPr>
      <w:tblGrid>
        <w:gridCol w:w="938"/>
        <w:gridCol w:w="1401"/>
        <w:gridCol w:w="399"/>
        <w:gridCol w:w="1383"/>
        <w:gridCol w:w="1386"/>
        <w:gridCol w:w="2215"/>
        <w:gridCol w:w="1349"/>
      </w:tblGrid>
      <w:tr>
        <w:trPr>
          <w:tblHeader w:val="true"/>
          <w:trHeight w:val="510" w:hRule="atLeast"/>
          <w:cantSplit w:val="true"/>
        </w:trPr>
        <w:tc>
          <w:tcPr>
            <w:tcW w:w="938" w:type="dxa"/>
            <w:tcBorders/>
            <w:shd w:color="auto" w:fill="003399" w:val="clear"/>
          </w:tcPr>
          <w:p>
            <w:pPr>
              <w:pStyle w:val="Normal"/>
              <w:suppressAutoHyphens w:val="true"/>
              <w:spacing w:before="0" w:after="200"/>
              <w:rPr>
                <w:rFonts w:ascii="Verdana" w:hAnsi="Verdana"/>
                <w:b/>
                <w:b/>
                <w:sz w:val="18"/>
                <w:szCs w:val="18"/>
              </w:rPr>
            </w:pPr>
            <w:r>
              <w:rPr>
                <w:rFonts w:ascii="Verdana" w:hAnsi="Verdana"/>
                <w:b/>
                <w:sz w:val="18"/>
                <w:szCs w:val="18"/>
              </w:rPr>
              <w:t>Effect</w:t>
            </w:r>
          </w:p>
        </w:tc>
        <w:tc>
          <w:tcPr>
            <w:tcW w:w="1401" w:type="dxa"/>
            <w:tcBorders/>
            <w:shd w:color="auto" w:fill="003399" w:val="clear"/>
          </w:tcPr>
          <w:p>
            <w:pPr>
              <w:pStyle w:val="Normal"/>
              <w:suppressAutoHyphens w:val="true"/>
              <w:spacing w:before="0" w:after="200"/>
              <w:rPr>
                <w:rFonts w:ascii="Verdana" w:hAnsi="Verdana"/>
                <w:b/>
                <w:b/>
                <w:sz w:val="18"/>
                <w:szCs w:val="18"/>
              </w:rPr>
            </w:pPr>
            <w:r>
              <w:rPr>
                <w:rFonts w:ascii="Verdana" w:hAnsi="Verdana"/>
                <w:b/>
                <w:sz w:val="18"/>
                <w:szCs w:val="18"/>
              </w:rPr>
              <w:t>Description</w:t>
            </w:r>
          </w:p>
        </w:tc>
        <w:tc>
          <w:tcPr>
            <w:tcW w:w="399" w:type="dxa"/>
            <w:tcBorders/>
            <w:shd w:color="auto" w:fill="003399" w:val="clear"/>
          </w:tcPr>
          <w:p>
            <w:pPr>
              <w:pStyle w:val="Normal"/>
              <w:suppressAutoHyphens w:val="true"/>
              <w:spacing w:before="0" w:after="200"/>
              <w:rPr>
                <w:rFonts w:ascii="Verdana" w:hAnsi="Verdana"/>
                <w:b/>
                <w:b/>
                <w:sz w:val="18"/>
                <w:szCs w:val="18"/>
              </w:rPr>
            </w:pPr>
            <w:r>
              <w:rPr>
                <w:rFonts w:ascii="Verdana" w:hAnsi="Verdana"/>
                <w:b/>
                <w:sz w:val="18"/>
                <w:szCs w:val="18"/>
              </w:rPr>
              <w:t>U</w:t>
            </w:r>
          </w:p>
        </w:tc>
        <w:tc>
          <w:tcPr>
            <w:tcW w:w="1383" w:type="dxa"/>
            <w:tcBorders/>
            <w:shd w:color="auto" w:fill="003399" w:val="clear"/>
          </w:tcPr>
          <w:p>
            <w:pPr>
              <w:pStyle w:val="Normal"/>
              <w:suppressAutoHyphens w:val="true"/>
              <w:spacing w:before="0" w:after="200"/>
              <w:rPr>
                <w:rFonts w:ascii="Verdana" w:hAnsi="Verdana"/>
                <w:b/>
                <w:b/>
                <w:sz w:val="18"/>
                <w:szCs w:val="18"/>
              </w:rPr>
            </w:pPr>
            <w:r>
              <w:rPr>
                <w:rFonts w:ascii="Verdana" w:hAnsi="Verdana"/>
                <w:b/>
                <w:sz w:val="18"/>
                <w:szCs w:val="18"/>
              </w:rPr>
              <w:t>LIX</w:t>
            </w:r>
          </w:p>
        </w:tc>
        <w:tc>
          <w:tcPr>
            <w:tcW w:w="1386" w:type="dxa"/>
            <w:tcBorders/>
            <w:shd w:color="auto" w:fill="003399" w:val="clear"/>
          </w:tcPr>
          <w:p>
            <w:pPr>
              <w:pStyle w:val="Normal"/>
              <w:suppressAutoHyphens w:val="true"/>
              <w:spacing w:before="0" w:after="200"/>
              <w:rPr>
                <w:rFonts w:ascii="Verdana" w:hAnsi="Verdana"/>
                <w:b/>
                <w:b/>
                <w:sz w:val="18"/>
                <w:szCs w:val="18"/>
              </w:rPr>
            </w:pPr>
            <w:r>
              <w:rPr>
                <w:rFonts w:ascii="Verdana" w:hAnsi="Verdana"/>
                <w:b/>
                <w:sz w:val="18"/>
                <w:szCs w:val="18"/>
              </w:rPr>
              <w:t>PBO</w:t>
            </w:r>
          </w:p>
        </w:tc>
        <w:tc>
          <w:tcPr>
            <w:tcW w:w="2215" w:type="dxa"/>
            <w:tcBorders/>
            <w:shd w:color="auto" w:fill="003399" w:val="clear"/>
          </w:tcPr>
          <w:p>
            <w:pPr>
              <w:pStyle w:val="Default"/>
              <w:rPr>
                <w:rFonts w:ascii="Verdana" w:hAnsi="Verdana" w:cs="Times New Roman"/>
                <w:b/>
                <w:b/>
                <w:color w:val="FFFFFF"/>
                <w:sz w:val="18"/>
                <w:szCs w:val="18"/>
              </w:rPr>
            </w:pPr>
            <w:r>
              <w:rPr>
                <w:rFonts w:cs="Times New Roman" w:ascii="Verdana" w:hAnsi="Verdana"/>
                <w:b/>
                <w:color w:val="FFFFFF"/>
                <w:sz w:val="18"/>
                <w:szCs w:val="18"/>
              </w:rPr>
              <w:t>Uncertainties /</w:t>
            </w:r>
          </w:p>
          <w:p>
            <w:pPr>
              <w:pStyle w:val="Normal"/>
              <w:suppressAutoHyphens w:val="true"/>
              <w:spacing w:before="0" w:after="200"/>
              <w:rPr>
                <w:rFonts w:ascii="Verdana" w:hAnsi="Verdana"/>
                <w:b/>
                <w:b/>
                <w:sz w:val="18"/>
                <w:szCs w:val="18"/>
              </w:rPr>
            </w:pPr>
            <w:r>
              <w:rPr>
                <w:rFonts w:ascii="Verdana" w:hAnsi="Verdana"/>
                <w:b/>
                <w:color w:val="FFFFFF"/>
                <w:sz w:val="18"/>
                <w:szCs w:val="18"/>
              </w:rPr>
              <w:t xml:space="preserve">Strength of evidence </w:t>
            </w:r>
          </w:p>
        </w:tc>
        <w:tc>
          <w:tcPr>
            <w:tcW w:w="1349" w:type="dxa"/>
            <w:tcBorders/>
            <w:shd w:color="auto" w:fill="003399" w:val="clear"/>
          </w:tcPr>
          <w:p>
            <w:pPr>
              <w:pStyle w:val="Default"/>
              <w:rPr>
                <w:rFonts w:ascii="Verdana" w:hAnsi="Verdana" w:cs="Times New Roman"/>
                <w:b/>
                <w:b/>
                <w:color w:val="FFFFFF"/>
                <w:sz w:val="18"/>
                <w:szCs w:val="18"/>
              </w:rPr>
            </w:pPr>
            <w:r>
              <w:rPr>
                <w:rFonts w:cs="Times New Roman" w:ascii="Verdana" w:hAnsi="Verdana"/>
                <w:b/>
                <w:color w:val="FFFFFF"/>
                <w:sz w:val="18"/>
                <w:szCs w:val="18"/>
              </w:rPr>
              <w:t>Reference</w:t>
            </w:r>
          </w:p>
        </w:tc>
      </w:tr>
      <w:tr>
        <w:trPr>
          <w:trHeight w:val="484" w:hRule="atLeast"/>
          <w:cantSplit w:val="true"/>
        </w:trPr>
        <w:tc>
          <w:tcPr>
            <w:tcW w:w="9071" w:type="dxa"/>
            <w:gridSpan w:val="7"/>
            <w:tcBorders>
              <w:top w:val="single" w:sz="6" w:space="0" w:color="FFFFFF"/>
              <w:left w:val="single" w:sz="4" w:space="0" w:color="FFFFFF"/>
              <w:bottom w:val="single" w:sz="6" w:space="0" w:color="FFFFFF"/>
              <w:right w:val="single" w:sz="6" w:space="0" w:color="FFFFFF"/>
              <w:insideH w:val="single" w:sz="6" w:space="0" w:color="FFFFFF"/>
              <w:insideV w:val="single" w:sz="6" w:space="0" w:color="FFFFFF"/>
            </w:tcBorders>
            <w:shd w:color="auto" w:fill="E1E3F2" w:val="clear"/>
          </w:tcPr>
          <w:p>
            <w:pPr>
              <w:pStyle w:val="Normal"/>
              <w:widowControl/>
              <w:bidi w:val="0"/>
              <w:spacing w:lineRule="auto" w:line="276" w:before="0" w:after="200"/>
              <w:jc w:val="left"/>
              <w:rPr>
                <w:rFonts w:ascii="Verdana" w:hAnsi="Verdana"/>
                <w:b/>
                <w:b/>
                <w:sz w:val="18"/>
                <w:szCs w:val="18"/>
                <w:lang w:val="en-GB"/>
              </w:rPr>
            </w:pPr>
            <w:r>
              <w:rPr>
                <w:b/>
                <w:i/>
              </w:rPr>
              <w:t>Favourable Effects</w:t>
            </w:r>
          </w:p>
        </w:tc>
      </w:tr>
      <w:tr>
        <w:trPr>
          <w:trHeight w:val="699" w:hRule="atLeast"/>
          <w:cantSplit w:val="true"/>
        </w:trPr>
        <w:tc>
          <w:tcPr>
            <w:tcW w:w="938" w:type="dxa"/>
            <w:vMerge w:val="restart"/>
            <w:tcBorders>
              <w:top w:val="single" w:sz="6" w:space="0" w:color="FFFFFF"/>
              <w:left w:val="single" w:sz="4" w:space="0" w:color="FFFFFF"/>
              <w:bottom w:val="single" w:sz="6" w:space="0" w:color="FFFFFF"/>
              <w:right w:val="single" w:sz="6" w:space="0" w:color="FFFFFF"/>
              <w:insideH w:val="single" w:sz="6" w:space="0" w:color="FFFFFF"/>
              <w:insideV w:val="single" w:sz="6" w:space="0" w:color="FFFFFF"/>
            </w:tcBorders>
            <w:shd w:color="auto" w:fill="E1E3F2" w:val="clear"/>
          </w:tcPr>
          <w:p>
            <w:pPr>
              <w:pStyle w:val="Normal"/>
              <w:suppressAutoHyphens w:val="true"/>
              <w:spacing w:before="0" w:after="200"/>
              <w:rPr>
                <w:rFonts w:ascii="Verdana" w:hAnsi="Verdana"/>
                <w:sz w:val="18"/>
                <w:szCs w:val="18"/>
                <w:lang w:val="en-GB"/>
              </w:rPr>
            </w:pPr>
            <w:r>
              <w:rPr>
                <w:rFonts w:ascii="Verdana" w:hAnsi="Verdana"/>
                <w:sz w:val="18"/>
                <w:szCs w:val="18"/>
                <w:lang w:val="en-GB"/>
              </w:rPr>
              <w:t>HbA1c</w:t>
            </w:r>
          </w:p>
        </w:tc>
        <w:tc>
          <w:tcPr>
            <w:tcW w:w="1401" w:type="dxa"/>
            <w:vMerge w:val="restart"/>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E1E3F2" w:val="clear"/>
          </w:tcPr>
          <w:p>
            <w:pPr>
              <w:pStyle w:val="Normal"/>
              <w:suppressAutoHyphens w:val="true"/>
              <w:spacing w:before="0" w:after="200"/>
              <w:rPr>
                <w:rFonts w:ascii="Verdana" w:hAnsi="Verdana"/>
                <w:sz w:val="18"/>
                <w:szCs w:val="18"/>
                <w:lang w:val="en-GB"/>
              </w:rPr>
            </w:pPr>
            <w:r>
              <w:rPr>
                <w:rFonts w:ascii="Verdana" w:hAnsi="Verdana"/>
                <w:sz w:val="18"/>
                <w:szCs w:val="18"/>
                <w:lang w:val="en-GB"/>
              </w:rPr>
              <w:t>Mean change in HbA1c from baseline</w:t>
            </w:r>
          </w:p>
        </w:tc>
        <w:tc>
          <w:tcPr>
            <w:tcW w:w="399" w:type="dxa"/>
            <w:vMerge w:val="restart"/>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E1E3F2" w:val="clear"/>
          </w:tcPr>
          <w:p>
            <w:pPr>
              <w:pStyle w:val="Normal"/>
              <w:suppressAutoHyphens w:val="true"/>
              <w:spacing w:before="0" w:after="200"/>
              <w:rPr>
                <w:rFonts w:ascii="Verdana" w:hAnsi="Verdana"/>
                <w:sz w:val="18"/>
                <w:szCs w:val="18"/>
                <w:lang w:val="en-GB"/>
              </w:rPr>
            </w:pPr>
            <w:r>
              <w:rPr>
                <w:rFonts w:ascii="Verdana" w:hAnsi="Verdana"/>
                <w:sz w:val="18"/>
                <w:szCs w:val="18"/>
                <w:lang w:val="en-GB"/>
              </w:rPr>
              <w:t>%</w:t>
            </w:r>
          </w:p>
        </w:tc>
        <w:tc>
          <w:tcPr>
            <w:tcW w:w="1383"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E1E3F2" w:val="clear"/>
          </w:tcPr>
          <w:p>
            <w:pPr>
              <w:pStyle w:val="Normal"/>
              <w:suppressAutoHyphens w:val="true"/>
              <w:jc w:val="center"/>
              <w:rPr>
                <w:rFonts w:ascii="Verdana" w:hAnsi="Verdana"/>
                <w:sz w:val="16"/>
                <w:szCs w:val="16"/>
              </w:rPr>
            </w:pPr>
            <w:r>
              <w:rPr>
                <w:rFonts w:ascii="Verdana" w:hAnsi="Verdana"/>
                <w:sz w:val="16"/>
                <w:szCs w:val="16"/>
              </w:rPr>
              <w:t>-0.83</w:t>
            </w:r>
          </w:p>
          <w:p>
            <w:pPr>
              <w:pStyle w:val="Normal"/>
              <w:suppressAutoHyphens w:val="true"/>
              <w:spacing w:before="0" w:after="200"/>
              <w:jc w:val="center"/>
              <w:rPr>
                <w:rFonts w:ascii="Verdana" w:hAnsi="Verdana"/>
                <w:sz w:val="16"/>
                <w:szCs w:val="16"/>
              </w:rPr>
            </w:pPr>
            <w:r>
              <w:rPr>
                <w:rFonts w:ascii="Verdana" w:hAnsi="Verdana"/>
                <w:sz w:val="16"/>
                <w:szCs w:val="16"/>
              </w:rPr>
              <w:t>(-0.91, -0.75)</w:t>
            </w:r>
          </w:p>
        </w:tc>
        <w:tc>
          <w:tcPr>
            <w:tcW w:w="138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E1E3F2" w:val="clear"/>
          </w:tcPr>
          <w:p>
            <w:pPr>
              <w:pStyle w:val="Normal"/>
              <w:suppressAutoHyphens w:val="true"/>
              <w:jc w:val="center"/>
              <w:rPr>
                <w:rFonts w:ascii="Verdana" w:hAnsi="Verdana"/>
                <w:sz w:val="16"/>
                <w:szCs w:val="16"/>
              </w:rPr>
            </w:pPr>
            <w:r>
              <w:rPr>
                <w:rFonts w:ascii="Verdana" w:hAnsi="Verdana"/>
                <w:sz w:val="16"/>
                <w:szCs w:val="16"/>
              </w:rPr>
              <w:t>-0.39</w:t>
            </w:r>
          </w:p>
          <w:p>
            <w:pPr>
              <w:pStyle w:val="Normal"/>
              <w:suppressAutoHyphens w:val="true"/>
              <w:spacing w:before="0" w:after="200"/>
              <w:jc w:val="center"/>
              <w:rPr>
                <w:rFonts w:ascii="Verdana" w:hAnsi="Verdana"/>
                <w:sz w:val="16"/>
                <w:szCs w:val="16"/>
              </w:rPr>
            </w:pPr>
            <w:r>
              <w:rPr>
                <w:rFonts w:ascii="Verdana" w:hAnsi="Verdana"/>
                <w:sz w:val="16"/>
                <w:szCs w:val="16"/>
              </w:rPr>
              <w:t>(-0.51,  -0.28)</w:t>
            </w:r>
          </w:p>
        </w:tc>
        <w:tc>
          <w:tcPr>
            <w:tcW w:w="221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E1E3F2" w:val="clear"/>
          </w:tcPr>
          <w:p>
            <w:pPr>
              <w:pStyle w:val="Normal"/>
              <w:widowControl/>
              <w:bidi w:val="0"/>
              <w:spacing w:lineRule="auto" w:line="276" w:before="0" w:after="200"/>
              <w:jc w:val="left"/>
              <w:rPr>
                <w:rFonts w:ascii="Verdana" w:hAnsi="Verdana"/>
                <w:sz w:val="18"/>
                <w:szCs w:val="18"/>
                <w:lang w:val="en-GB"/>
              </w:rPr>
            </w:pPr>
            <w:r>
              <w:rPr>
                <w:rFonts w:ascii="Verdana" w:hAnsi="Verdana"/>
                <w:b/>
                <w:sz w:val="18"/>
                <w:szCs w:val="18"/>
                <w:lang w:val="en-GB"/>
              </w:rPr>
              <w:t>Unc:</w:t>
            </w:r>
            <w:r>
              <w:rPr>
                <w:rFonts w:ascii="Verdana" w:hAnsi="Verdana"/>
                <w:sz w:val="18"/>
                <w:szCs w:val="18"/>
                <w:lang w:val="en-GB"/>
              </w:rPr>
              <w:t xml:space="preserve"> The effect of lixisenatide was more pronounced in Asian patients compared to Caucasian patients. The lower effect in Caucasians is partly explained by a large placebo effect especially in some geographical regions.</w:t>
            </w:r>
          </w:p>
        </w:tc>
        <w:tc>
          <w:tcPr>
            <w:tcW w:w="1349" w:type="dxa"/>
            <w:tcBorders>
              <w:top w:val="single" w:sz="6" w:space="0" w:color="FFFFFF"/>
              <w:left w:val="single" w:sz="6" w:space="0" w:color="FFFFFF"/>
              <w:bottom w:val="single" w:sz="6" w:space="0" w:color="FFFFFF"/>
              <w:right w:val="single" w:sz="4" w:space="0" w:color="FFFFFF"/>
              <w:insideH w:val="single" w:sz="6" w:space="0" w:color="FFFFFF"/>
              <w:insideV w:val="single" w:sz="4" w:space="0" w:color="FFFFFF"/>
            </w:tcBorders>
            <w:shd w:color="auto" w:fill="E1E3F2" w:val="clear"/>
          </w:tcPr>
          <w:p>
            <w:pPr>
              <w:pStyle w:val="Normal"/>
              <w:widowControl/>
              <w:bidi w:val="0"/>
              <w:spacing w:lineRule="auto" w:line="276" w:before="0" w:after="200"/>
              <w:jc w:val="left"/>
              <w:rPr>
                <w:rFonts w:ascii="Verdana" w:hAnsi="Verdana"/>
                <w:sz w:val="18"/>
                <w:szCs w:val="18"/>
                <w:lang w:val="en-GB"/>
              </w:rPr>
            </w:pPr>
            <w:r>
              <w:rPr>
                <w:rFonts w:ascii="Verdana" w:hAnsi="Verdana"/>
                <w:sz w:val="18"/>
                <w:szCs w:val="18"/>
                <w:lang w:val="en-GB"/>
              </w:rPr>
              <w:t>Pooled data from EFC6014 and EFC10743</w:t>
            </w:r>
          </w:p>
        </w:tc>
      </w:tr>
      <w:tr>
        <w:trPr>
          <w:trHeight w:val="703" w:hRule="atLeast"/>
          <w:cantSplit w:val="true"/>
        </w:trPr>
        <w:tc>
          <w:tcPr>
            <w:tcW w:w="938" w:type="dxa"/>
            <w:vMerge w:val="continue"/>
            <w:tcBorders>
              <w:top w:val="single" w:sz="6" w:space="0" w:color="FFFFFF"/>
              <w:left w:val="single" w:sz="4" w:space="0" w:color="FFFFFF"/>
              <w:bottom w:val="single" w:sz="6" w:space="0" w:color="FFFFFF"/>
              <w:right w:val="single" w:sz="6" w:space="0" w:color="FFFFFF"/>
              <w:insideH w:val="single" w:sz="6" w:space="0" w:color="FFFFFF"/>
              <w:insideV w:val="single" w:sz="6" w:space="0" w:color="FFFFFF"/>
            </w:tcBorders>
            <w:shd w:color="auto" w:fill="E1E3F2" w:val="clear"/>
          </w:tcPr>
          <w:p>
            <w:pPr>
              <w:pStyle w:val="Normal"/>
              <w:suppressAutoHyphens w:val="true"/>
              <w:spacing w:before="0" w:after="200"/>
              <w:rPr>
                <w:rFonts w:ascii="Verdana" w:hAnsi="Verdana"/>
                <w:sz w:val="18"/>
                <w:szCs w:val="18"/>
                <w:lang w:val="en-GB"/>
              </w:rPr>
            </w:pPr>
            <w:r>
              <w:rPr>
                <w:rFonts w:ascii="Verdana" w:hAnsi="Verdana"/>
                <w:sz w:val="18"/>
                <w:szCs w:val="18"/>
                <w:lang w:val="en-GB"/>
              </w:rPr>
            </w:r>
          </w:p>
        </w:tc>
        <w:tc>
          <w:tcPr>
            <w:tcW w:w="1401" w:type="dxa"/>
            <w:vMerge w:val="continue"/>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E1E3F2" w:val="clear"/>
          </w:tcPr>
          <w:p>
            <w:pPr>
              <w:pStyle w:val="Normal"/>
              <w:suppressAutoHyphens w:val="true"/>
              <w:spacing w:before="0" w:after="200"/>
              <w:rPr>
                <w:rFonts w:ascii="Verdana" w:hAnsi="Verdana"/>
                <w:sz w:val="18"/>
                <w:szCs w:val="18"/>
                <w:lang w:val="en-GB"/>
              </w:rPr>
            </w:pPr>
            <w:r>
              <w:rPr>
                <w:rFonts w:ascii="Verdana" w:hAnsi="Verdana"/>
                <w:sz w:val="18"/>
                <w:szCs w:val="18"/>
                <w:lang w:val="en-GB"/>
              </w:rPr>
            </w:r>
          </w:p>
        </w:tc>
        <w:tc>
          <w:tcPr>
            <w:tcW w:w="399" w:type="dxa"/>
            <w:vMerge w:val="continue"/>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E1E3F2" w:val="clear"/>
          </w:tcPr>
          <w:p>
            <w:pPr>
              <w:pStyle w:val="Normal"/>
              <w:suppressAutoHyphens w:val="true"/>
              <w:spacing w:before="0" w:after="200"/>
              <w:rPr>
                <w:rFonts w:ascii="Verdana" w:hAnsi="Verdana"/>
                <w:sz w:val="18"/>
                <w:szCs w:val="18"/>
                <w:lang w:val="en-GB"/>
              </w:rPr>
            </w:pPr>
            <w:r>
              <w:rPr>
                <w:rFonts w:ascii="Verdana" w:hAnsi="Verdana"/>
                <w:sz w:val="18"/>
                <w:szCs w:val="18"/>
                <w:lang w:val="en-GB"/>
              </w:rPr>
            </w:r>
          </w:p>
        </w:tc>
        <w:tc>
          <w:tcPr>
            <w:tcW w:w="1383"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E1E3F2" w:val="clear"/>
          </w:tcPr>
          <w:p>
            <w:pPr>
              <w:pStyle w:val="Normal"/>
              <w:suppressAutoHyphens w:val="true"/>
              <w:jc w:val="center"/>
              <w:rPr>
                <w:rFonts w:ascii="Verdana" w:hAnsi="Verdana"/>
                <w:sz w:val="16"/>
                <w:szCs w:val="16"/>
              </w:rPr>
            </w:pPr>
            <w:r>
              <w:rPr>
                <w:rFonts w:ascii="Verdana" w:hAnsi="Verdana"/>
                <w:sz w:val="16"/>
                <w:szCs w:val="16"/>
              </w:rPr>
              <w:t>-0.82</w:t>
            </w:r>
          </w:p>
          <w:p>
            <w:pPr>
              <w:pStyle w:val="Normal"/>
              <w:suppressAutoHyphens w:val="true"/>
              <w:spacing w:before="0" w:after="200"/>
              <w:jc w:val="center"/>
              <w:rPr>
                <w:rFonts w:ascii="Verdana" w:hAnsi="Verdana"/>
                <w:sz w:val="16"/>
                <w:szCs w:val="16"/>
              </w:rPr>
            </w:pPr>
            <w:r>
              <w:rPr>
                <w:rFonts w:ascii="Verdana" w:hAnsi="Verdana"/>
                <w:sz w:val="16"/>
                <w:szCs w:val="16"/>
              </w:rPr>
              <w:t>(-0.91, -0.73)</w:t>
            </w:r>
          </w:p>
        </w:tc>
        <w:tc>
          <w:tcPr>
            <w:tcW w:w="138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E1E3F2" w:val="clear"/>
          </w:tcPr>
          <w:p>
            <w:pPr>
              <w:pStyle w:val="Normal"/>
              <w:suppressAutoHyphens w:val="true"/>
              <w:jc w:val="center"/>
              <w:rPr>
                <w:rFonts w:ascii="Verdana" w:hAnsi="Verdana"/>
                <w:sz w:val="16"/>
                <w:szCs w:val="16"/>
              </w:rPr>
            </w:pPr>
            <w:r>
              <w:rPr>
                <w:rFonts w:ascii="Verdana" w:hAnsi="Verdana"/>
                <w:sz w:val="16"/>
                <w:szCs w:val="16"/>
              </w:rPr>
              <w:t>-0.10</w:t>
            </w:r>
          </w:p>
          <w:p>
            <w:pPr>
              <w:pStyle w:val="Normal"/>
              <w:suppressAutoHyphens w:val="true"/>
              <w:spacing w:before="0" w:after="200"/>
              <w:jc w:val="center"/>
              <w:rPr>
                <w:rFonts w:ascii="Verdana" w:hAnsi="Verdana"/>
                <w:sz w:val="16"/>
                <w:szCs w:val="16"/>
              </w:rPr>
            </w:pPr>
            <w:r>
              <w:rPr>
                <w:rFonts w:ascii="Verdana" w:hAnsi="Verdana"/>
                <w:sz w:val="16"/>
                <w:szCs w:val="16"/>
              </w:rPr>
              <w:t>(-0.24, 0.04)</w:t>
            </w:r>
          </w:p>
        </w:tc>
        <w:tc>
          <w:tcPr>
            <w:tcW w:w="221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E1E3F2" w:val="clear"/>
          </w:tcPr>
          <w:p>
            <w:pPr>
              <w:pStyle w:val="Normal"/>
              <w:spacing w:before="0" w:after="200"/>
              <w:rPr>
                <w:rFonts w:ascii="Verdana" w:hAnsi="Verdana"/>
                <w:sz w:val="18"/>
                <w:szCs w:val="18"/>
              </w:rPr>
            </w:pPr>
            <w:r>
              <w:rPr>
                <w:rFonts w:ascii="Verdana" w:hAnsi="Verdana"/>
                <w:sz w:val="18"/>
                <w:szCs w:val="18"/>
              </w:rPr>
            </w:r>
          </w:p>
        </w:tc>
        <w:tc>
          <w:tcPr>
            <w:tcW w:w="1349" w:type="dxa"/>
            <w:tcBorders>
              <w:top w:val="single" w:sz="6" w:space="0" w:color="FFFFFF"/>
              <w:left w:val="single" w:sz="6" w:space="0" w:color="FFFFFF"/>
              <w:bottom w:val="single" w:sz="6" w:space="0" w:color="FFFFFF"/>
              <w:right w:val="single" w:sz="4" w:space="0" w:color="FFFFFF"/>
              <w:insideH w:val="single" w:sz="6" w:space="0" w:color="FFFFFF"/>
              <w:insideV w:val="single" w:sz="4" w:space="0" w:color="FFFFFF"/>
            </w:tcBorders>
            <w:shd w:color="auto" w:fill="E1E3F2" w:val="clear"/>
          </w:tcPr>
          <w:p>
            <w:pPr>
              <w:pStyle w:val="Normal"/>
              <w:widowControl/>
              <w:bidi w:val="0"/>
              <w:spacing w:lineRule="auto" w:line="276" w:before="0" w:after="200"/>
              <w:jc w:val="left"/>
              <w:rPr>
                <w:rFonts w:ascii="Verdana" w:hAnsi="Verdana"/>
                <w:sz w:val="18"/>
                <w:szCs w:val="18"/>
              </w:rPr>
            </w:pPr>
            <w:r>
              <w:rPr>
                <w:lang w:val="en-GB"/>
              </w:rPr>
              <w:t>EFC6015</w:t>
            </w:r>
          </w:p>
        </w:tc>
      </w:tr>
      <w:tr>
        <w:trPr>
          <w:trHeight w:val="425" w:hRule="atLeast"/>
          <w:cantSplit w:val="true"/>
        </w:trPr>
        <w:tc>
          <w:tcPr>
            <w:tcW w:w="9071" w:type="dxa"/>
            <w:gridSpan w:val="7"/>
            <w:tcBorders>
              <w:top w:val="single" w:sz="6" w:space="0" w:color="FFFFFF"/>
              <w:left w:val="single" w:sz="4" w:space="0" w:color="FFFFFF"/>
              <w:bottom w:val="single" w:sz="6" w:space="0" w:color="FFFFFF"/>
              <w:right w:val="single" w:sz="6" w:space="0" w:color="FFFFFF"/>
              <w:insideH w:val="single" w:sz="6" w:space="0" w:color="FFFFFF"/>
              <w:insideV w:val="single" w:sz="6" w:space="0" w:color="FFFFFF"/>
            </w:tcBorders>
            <w:shd w:color="auto" w:fill="E1E3F2" w:val="clear"/>
          </w:tcPr>
          <w:p>
            <w:pPr>
              <w:pStyle w:val="Normal"/>
              <w:suppressAutoHyphens w:val="true"/>
              <w:spacing w:lineRule="exact" w:line="240" w:before="0" w:after="57"/>
              <w:rPr>
                <w:rFonts w:ascii="Verdana" w:hAnsi="Verdana"/>
                <w:b/>
                <w:b/>
                <w:sz w:val="18"/>
                <w:szCs w:val="18"/>
                <w:lang w:val="en-GB"/>
              </w:rPr>
            </w:pPr>
            <w:r>
              <w:rPr>
                <w:rFonts w:ascii="Verdana" w:hAnsi="Verdana"/>
                <w:b/>
                <w:i/>
                <w:sz w:val="18"/>
                <w:szCs w:val="18"/>
              </w:rPr>
              <w:t>Unfavourable Effects</w:t>
            </w:r>
          </w:p>
        </w:tc>
      </w:tr>
      <w:tr>
        <w:trPr>
          <w:trHeight w:val="425" w:hRule="atLeast"/>
          <w:cantSplit w:val="true"/>
        </w:trPr>
        <w:tc>
          <w:tcPr>
            <w:tcW w:w="938" w:type="dxa"/>
            <w:tcBorders>
              <w:top w:val="single" w:sz="6" w:space="0" w:color="FFFFFF"/>
              <w:left w:val="single" w:sz="4" w:space="0" w:color="FFFFFF"/>
              <w:bottom w:val="single" w:sz="4" w:space="0" w:color="FFFFFF"/>
              <w:right w:val="single" w:sz="6" w:space="0" w:color="FFFFFF"/>
              <w:insideH w:val="single" w:sz="4" w:space="0" w:color="FFFFFF"/>
              <w:insideV w:val="single" w:sz="6" w:space="0" w:color="FFFFFF"/>
            </w:tcBorders>
            <w:shd w:color="auto" w:fill="E1E3F2" w:val="clear"/>
          </w:tcPr>
          <w:p>
            <w:pPr>
              <w:pStyle w:val="Normal"/>
              <w:suppressAutoHyphens w:val="true"/>
              <w:spacing w:before="0" w:after="200"/>
              <w:rPr>
                <w:rFonts w:ascii="Verdana" w:hAnsi="Verdana"/>
                <w:sz w:val="18"/>
                <w:szCs w:val="18"/>
              </w:rPr>
            </w:pPr>
            <w:r>
              <w:rPr>
                <w:rFonts w:ascii="Verdana" w:hAnsi="Verdana"/>
                <w:sz w:val="18"/>
                <w:szCs w:val="18"/>
              </w:rPr>
              <w:t>Nausea</w:t>
            </w:r>
          </w:p>
        </w:tc>
        <w:tc>
          <w:tcPr>
            <w:tcW w:w="1401" w:type="dxa"/>
            <w:tcBorders>
              <w:top w:val="single" w:sz="6" w:space="0" w:color="FFFFFF"/>
              <w:left w:val="single" w:sz="6" w:space="0" w:color="FFFFFF"/>
              <w:bottom w:val="single" w:sz="4" w:space="0" w:color="FFFFFF"/>
              <w:right w:val="single" w:sz="6" w:space="0" w:color="FFFFFF"/>
              <w:insideH w:val="single" w:sz="4" w:space="0" w:color="FFFFFF"/>
              <w:insideV w:val="single" w:sz="6" w:space="0" w:color="FFFFFF"/>
            </w:tcBorders>
            <w:shd w:color="auto" w:fill="E1E3F2" w:val="clear"/>
          </w:tcPr>
          <w:p>
            <w:pPr>
              <w:pStyle w:val="Normal"/>
              <w:suppressAutoHyphens w:val="true"/>
              <w:spacing w:before="0" w:after="200"/>
              <w:rPr>
                <w:rFonts w:ascii="Verdana" w:hAnsi="Verdana"/>
                <w:sz w:val="18"/>
                <w:szCs w:val="18"/>
              </w:rPr>
            </w:pPr>
            <w:r>
              <w:rPr>
                <w:rFonts w:ascii="Verdana" w:hAnsi="Verdana"/>
                <w:sz w:val="18"/>
                <w:szCs w:val="18"/>
              </w:rPr>
              <w:t>Incidence of nausea</w:t>
            </w:r>
          </w:p>
        </w:tc>
        <w:tc>
          <w:tcPr>
            <w:tcW w:w="399" w:type="dxa"/>
            <w:tcBorders>
              <w:top w:val="single" w:sz="6" w:space="0" w:color="FFFFFF"/>
              <w:left w:val="single" w:sz="6" w:space="0" w:color="FFFFFF"/>
              <w:bottom w:val="single" w:sz="4" w:space="0" w:color="FFFFFF"/>
              <w:right w:val="single" w:sz="6" w:space="0" w:color="FFFFFF"/>
              <w:insideH w:val="single" w:sz="4" w:space="0" w:color="FFFFFF"/>
              <w:insideV w:val="single" w:sz="6" w:space="0" w:color="FFFFFF"/>
            </w:tcBorders>
            <w:shd w:color="auto" w:fill="E1E3F2" w:val="clear"/>
          </w:tcPr>
          <w:p>
            <w:pPr>
              <w:pStyle w:val="Normal"/>
              <w:suppressAutoHyphens w:val="true"/>
              <w:spacing w:before="0" w:after="200"/>
              <w:rPr>
                <w:rFonts w:ascii="Verdana" w:hAnsi="Verdana"/>
                <w:sz w:val="18"/>
                <w:szCs w:val="18"/>
              </w:rPr>
            </w:pPr>
            <w:r>
              <w:rPr>
                <w:rFonts w:ascii="Verdana" w:hAnsi="Verdana"/>
                <w:sz w:val="18"/>
                <w:szCs w:val="18"/>
              </w:rPr>
              <w:t>%</w:t>
            </w:r>
          </w:p>
        </w:tc>
        <w:tc>
          <w:tcPr>
            <w:tcW w:w="1383" w:type="dxa"/>
            <w:tcBorders>
              <w:top w:val="single" w:sz="6" w:space="0" w:color="FFFFFF"/>
              <w:left w:val="single" w:sz="6" w:space="0" w:color="FFFFFF"/>
              <w:bottom w:val="single" w:sz="4" w:space="0" w:color="FFFFFF"/>
              <w:right w:val="single" w:sz="6" w:space="0" w:color="FFFFFF"/>
              <w:insideH w:val="single" w:sz="4" w:space="0" w:color="FFFFFF"/>
              <w:insideV w:val="single" w:sz="6" w:space="0" w:color="FFFFFF"/>
            </w:tcBorders>
            <w:shd w:color="auto" w:fill="E1E3F2" w:val="clear"/>
          </w:tcPr>
          <w:p>
            <w:pPr>
              <w:pStyle w:val="Default"/>
              <w:jc w:val="center"/>
              <w:rPr>
                <w:rFonts w:ascii="Verdana" w:hAnsi="Verdana" w:cs="Times New Roman"/>
                <w:sz w:val="16"/>
                <w:szCs w:val="16"/>
              </w:rPr>
            </w:pPr>
            <w:r>
              <w:rPr>
                <w:rFonts w:cs="Times New Roman" w:ascii="Verdana" w:hAnsi="Verdana"/>
                <w:sz w:val="16"/>
                <w:szCs w:val="16"/>
              </w:rPr>
              <w:t>26.9</w:t>
            </w:r>
          </w:p>
        </w:tc>
        <w:tc>
          <w:tcPr>
            <w:tcW w:w="1386" w:type="dxa"/>
            <w:tcBorders>
              <w:top w:val="single" w:sz="6" w:space="0" w:color="FFFFFF"/>
              <w:left w:val="single" w:sz="6" w:space="0" w:color="FFFFFF"/>
              <w:bottom w:val="single" w:sz="4" w:space="0" w:color="FFFFFF"/>
              <w:right w:val="single" w:sz="6" w:space="0" w:color="FFFFFF"/>
              <w:insideH w:val="single" w:sz="4" w:space="0" w:color="FFFFFF"/>
              <w:insideV w:val="single" w:sz="6" w:space="0" w:color="FFFFFF"/>
            </w:tcBorders>
            <w:shd w:color="auto" w:fill="E1E3F2" w:val="clear"/>
          </w:tcPr>
          <w:p>
            <w:pPr>
              <w:pStyle w:val="Normal"/>
              <w:suppressAutoHyphens w:val="true"/>
              <w:spacing w:before="0" w:after="200"/>
              <w:jc w:val="center"/>
              <w:rPr>
                <w:rFonts w:ascii="Verdana" w:hAnsi="Verdana"/>
                <w:sz w:val="16"/>
                <w:szCs w:val="16"/>
              </w:rPr>
            </w:pPr>
            <w:r>
              <w:rPr>
                <w:rFonts w:ascii="Verdana" w:hAnsi="Verdana"/>
                <w:sz w:val="16"/>
                <w:szCs w:val="16"/>
              </w:rPr>
              <w:t>7.3</w:t>
            </w:r>
          </w:p>
        </w:tc>
        <w:tc>
          <w:tcPr>
            <w:tcW w:w="2215" w:type="dxa"/>
            <w:tcBorders>
              <w:top w:val="single" w:sz="6" w:space="0" w:color="FFFFFF"/>
              <w:left w:val="single" w:sz="6" w:space="0" w:color="FFFFFF"/>
              <w:bottom w:val="single" w:sz="4" w:space="0" w:color="FFFFFF"/>
              <w:right w:val="single" w:sz="6" w:space="0" w:color="FFFFFF"/>
              <w:insideH w:val="single" w:sz="4" w:space="0" w:color="FFFFFF"/>
              <w:insideV w:val="single" w:sz="6" w:space="0" w:color="FFFFFF"/>
            </w:tcBorders>
            <w:shd w:color="auto" w:fill="E1E3F2" w:val="clear"/>
          </w:tcPr>
          <w:p>
            <w:pPr>
              <w:pStyle w:val="Normal"/>
              <w:suppressAutoHyphens w:val="true"/>
              <w:spacing w:lineRule="exact" w:line="240" w:before="0" w:after="57"/>
              <w:rPr>
                <w:rFonts w:ascii="Verdana" w:hAnsi="Verdana"/>
                <w:sz w:val="18"/>
                <w:szCs w:val="18"/>
                <w:lang w:val="en-GB"/>
              </w:rPr>
            </w:pPr>
            <w:r>
              <w:rPr>
                <w:rFonts w:ascii="Verdana" w:hAnsi="Verdana"/>
                <w:sz w:val="18"/>
                <w:szCs w:val="18"/>
                <w:lang w:val="en-GB"/>
              </w:rPr>
            </w:r>
          </w:p>
        </w:tc>
        <w:tc>
          <w:tcPr>
            <w:tcW w:w="1349" w:type="dxa"/>
            <w:tcBorders>
              <w:top w:val="single" w:sz="6" w:space="0" w:color="FFFFFF"/>
              <w:left w:val="single" w:sz="6" w:space="0" w:color="FFFFFF"/>
              <w:bottom w:val="single" w:sz="4" w:space="0" w:color="FFFFFF"/>
              <w:right w:val="single" w:sz="4" w:space="0" w:color="FFFFFF"/>
              <w:insideH w:val="single" w:sz="4" w:space="0" w:color="FFFFFF"/>
              <w:insideV w:val="single" w:sz="4" w:space="0" w:color="FFFFFF"/>
            </w:tcBorders>
            <w:shd w:color="auto" w:fill="E1E3F2" w:val="clear"/>
          </w:tcPr>
          <w:p>
            <w:pPr>
              <w:pStyle w:val="Normal"/>
              <w:keepNext w:val="true"/>
              <w:suppressAutoHyphens w:val="true"/>
              <w:spacing w:lineRule="exact" w:line="240" w:before="0" w:after="57"/>
              <w:rPr>
                <w:rFonts w:ascii="Verdana" w:hAnsi="Verdana"/>
                <w:sz w:val="18"/>
                <w:szCs w:val="18"/>
                <w:lang w:val="en-GB"/>
              </w:rPr>
            </w:pPr>
            <w:r>
              <w:rPr>
                <w:rFonts w:ascii="Verdana" w:hAnsi="Verdana"/>
                <w:sz w:val="18"/>
                <w:szCs w:val="18"/>
                <w:lang w:val="en-GB"/>
              </w:rPr>
              <w:t>pooled data from all phase 2/3 controlled studies</w:t>
            </w:r>
          </w:p>
        </w:tc>
      </w:tr>
    </w:tbl>
    <w:p>
      <w:pPr>
        <w:pStyle w:val="Normal"/>
        <w:rPr>
          <w:lang w:val="en-GB"/>
        </w:rPr>
      </w:pPr>
      <w:r>
        <w:rPr>
          <w:lang w:val="en-GB"/>
        </w:rPr>
      </w:r>
    </w:p>
    <w:p>
      <w:pPr>
        <w:pStyle w:val="Normal"/>
        <w:rPr>
          <w:rFonts w:ascii="Cambria" w:hAnsi="Cambria" w:eastAsia="" w:cs="" w:asciiTheme="majorHAnsi" w:cstheme="majorBidi" w:eastAsiaTheme="majorEastAsia" w:hAnsiTheme="majorHAnsi"/>
          <w:b/>
          <w:b/>
          <w:bCs/>
          <w:color w:val="4F81BD" w:themeColor="accent1"/>
          <w:sz w:val="26"/>
          <w:szCs w:val="26"/>
          <w:lang w:val="en-GB"/>
        </w:rPr>
      </w:pPr>
      <w:r>
        <w:rPr>
          <w:rFonts w:eastAsia="" w:cs="" w:cstheme="majorBidi" w:eastAsiaTheme="majorEastAsia" w:ascii="Cambria" w:hAnsi="Cambria"/>
          <w:b/>
          <w:bCs/>
          <w:color w:val="4F81BD" w:themeColor="accent1"/>
          <w:sz w:val="26"/>
          <w:szCs w:val="26"/>
          <w:lang w:val="en-GB"/>
        </w:rPr>
      </w:r>
      <w:r>
        <w:br w:type="page"/>
      </w:r>
    </w:p>
    <w:p>
      <w:pPr>
        <w:pStyle w:val="Heading2"/>
        <w:rPr/>
      </w:pPr>
      <w:r>
        <w:rPr>
          <w:lang w:val="en-GB"/>
        </w:rPr>
        <w:t>Sign in to MCDA.drugis.org</w:t>
      </w:r>
    </w:p>
    <w:p>
      <w:pPr>
        <w:pStyle w:val="Normal"/>
        <w:rPr/>
      </w:pPr>
      <w:r>
        <w:rPr>
          <w:rFonts w:ascii="Calibri" w:hAnsi="Calibri"/>
          <w:b/>
          <w:bCs/>
          <w:lang w:val="en-GB"/>
        </w:rPr>
        <w:t xml:space="preserve">👉 </w:t>
      </w:r>
      <w:r>
        <w:rPr>
          <w:lang w:val="en-GB"/>
        </w:rPr>
        <w:t xml:space="preserve">Open your browser and navigate to </w:t>
      </w:r>
      <w:hyperlink r:id="rId3">
        <w:r>
          <w:rPr>
            <w:rStyle w:val="InternetLink"/>
            <w:color w:themeColor="hyperlink"/>
            <w:lang w:val="en-GB"/>
          </w:rPr>
          <w:t>https://m</w:t>
        </w:r>
        <w:r>
          <w:rPr>
            <w:rStyle w:val="InternetLink"/>
            <w:color w:themeColor="hyperlink"/>
            <w:lang w:val="en-GB"/>
          </w:rPr>
          <w:t>cda.drugis.org</w:t>
        </w:r>
      </w:hyperlink>
      <w:r>
        <w:rPr>
          <w:lang w:val="en-GB"/>
        </w:rPr>
        <w:t xml:space="preserve">. Use your Google account to sign in. You will be redirected to your personal homepage, </w:t>
      </w:r>
      <w:r>
        <w:rPr>
          <w:lang w:val="en-GB"/>
        </w:rPr>
        <w:t xml:space="preserve">containing </w:t>
      </w:r>
      <w:r>
        <w:rPr>
          <w:lang w:val="en-GB"/>
        </w:rPr>
        <w:t xml:space="preserve">your previously created workspaces, </w:t>
      </w:r>
      <w:r>
        <w:rPr>
          <w:lang w:val="en-GB"/>
        </w:rPr>
        <w:t>both finished and unfinished (if any)</w:t>
      </w:r>
      <w:r>
        <w:rPr>
          <w:lang w:val="en-GB"/>
        </w:rPr>
        <w:t>.</w:t>
      </w:r>
    </w:p>
    <w:p>
      <w:pPr>
        <w:pStyle w:val="FrameContents"/>
        <w:rPr/>
      </w:pPr>
      <w:r>
        <w:rPr>
          <w:b/>
          <w:bCs/>
          <w:color w:val="auto"/>
          <w:lang w:val="en-GB"/>
        </w:rPr>
        <w:t>💡</w:t>
      </w:r>
      <w:r>
        <w:rPr>
          <w:b w:val="false"/>
          <w:bCs w:val="false"/>
          <w:color w:val="auto"/>
          <w:lang w:val="en-GB"/>
        </w:rPr>
        <w:t xml:space="preserve"> </w:t>
      </w:r>
      <w:r>
        <w:rPr>
          <w:b w:val="false"/>
          <w:bCs w:val="false"/>
          <w:color w:val="auto"/>
          <w:lang w:val="en-GB"/>
        </w:rPr>
        <w:t>A</w:t>
      </w:r>
      <w:r>
        <w:rPr>
          <w:color w:val="auto"/>
          <w:lang w:val="en-GB"/>
        </w:rPr>
        <w:t xml:space="preserve">t any stage during the data entry process you can press the ‘Save’ button at the bottom of the page to store the current state </w:t>
      </w:r>
      <w:r>
        <w:rPr>
          <w:color w:val="auto"/>
          <w:lang w:val="en-GB"/>
        </w:rPr>
        <w:t>so that you can continue later</w:t>
      </w:r>
      <w:r>
        <w:rPr>
          <w:color w:val="auto"/>
          <w:lang w:val="en-GB"/>
        </w:rPr>
        <w:t>. You can navigate to your home page by pressing the mcda.drugis.org link on the menu bar at the top-left of the screen.</w:t>
      </w:r>
    </w:p>
    <w:p>
      <w:pPr>
        <w:pStyle w:val="Heading2"/>
        <w:rPr/>
      </w:pPr>
      <w:r>
        <w:rPr>
          <w:lang w:val="en-GB"/>
        </w:rPr>
        <w:t>C</w:t>
      </w:r>
      <w:r>
        <w:rPr>
          <w:lang w:val="en-GB"/>
        </w:rPr>
        <w:t>reate a new workspace</w:t>
      </w:r>
    </w:p>
    <w:p>
      <w:pPr>
        <w:pStyle w:val="Normal"/>
        <w:rPr/>
      </w:pPr>
      <w:r>
        <w:rPr>
          <w:rFonts w:ascii="Calibri" w:hAnsi="Calibri"/>
          <w:b/>
          <w:bCs/>
          <w:lang w:val="en-GB"/>
        </w:rPr>
        <w:t xml:space="preserve">👉 </w:t>
      </w:r>
      <w:r>
        <w:rPr>
          <w:lang w:val="en-GB"/>
        </w:rPr>
        <w:t xml:space="preserve">Press the ‘Create workspace’ button, </w:t>
      </w:r>
      <w:r>
        <w:rPr>
          <w:lang w:val="en-GB"/>
        </w:rPr>
        <w:t>s</w:t>
      </w:r>
      <w:r>
        <w:rPr>
          <w:lang w:val="en-GB"/>
        </w:rPr>
        <w:t xml:space="preserve">elect the option ‘Manual input’ and press the ‘Create button’. This </w:t>
      </w:r>
      <w:r>
        <w:rPr>
          <w:lang w:val="en-GB"/>
        </w:rPr>
        <w:t xml:space="preserve">leads to </w:t>
      </w:r>
      <w:r>
        <w:rPr>
          <w:lang w:val="en-GB"/>
        </w:rPr>
        <w:t xml:space="preserve">the first step of the manual entry process. </w:t>
      </w:r>
    </w:p>
    <w:p>
      <w:pPr>
        <w:pStyle w:val="Normal"/>
        <w:rPr/>
      </w:pPr>
      <w:r>
        <w:rPr>
          <w:b/>
          <w:bCs/>
          <w:lang w:val="en-GB"/>
        </w:rPr>
        <w:t xml:space="preserve">🎓 </w:t>
      </w:r>
      <w:r>
        <w:rPr/>
        <w:t>A workspace contains the clinical efficacy and safety data that you have entered for a particular benefit-risk assessment. Within a workspace you can build effect tables and perform quantitative benefit-risk analyses.  From your homepage, workspaces are created through a dialog opened by clicking the ‘Create workspace’ button. Existing workspaces are opened by clicking on the name of that workspace, or navigating to their URL directly via a link or bookmark.</w:t>
      </w:r>
    </w:p>
    <w:p>
      <w:pPr>
        <w:pStyle w:val="Heading2"/>
        <w:rPr/>
      </w:pPr>
      <w:r>
        <w:rPr>
          <w:lang w:val="en-GB"/>
        </w:rPr>
        <w:t>E</w:t>
      </w:r>
      <w:r>
        <w:rPr>
          <w:lang w:val="en-GB"/>
        </w:rPr>
        <w:t>nter general information</w:t>
      </w:r>
    </w:p>
    <w:p>
      <w:pPr>
        <w:pStyle w:val="Normal"/>
        <w:rPr/>
      </w:pPr>
      <w:r>
        <w:rPr>
          <w:rFonts w:ascii="Calibri" w:hAnsi="Calibri"/>
          <w:b/>
          <w:bCs/>
          <w:lang w:val="en-GB"/>
        </w:rPr>
        <w:t xml:space="preserve">👉 </w:t>
      </w:r>
      <w:r>
        <w:rPr>
          <w:lang w:val="en-GB"/>
        </w:rPr>
        <w:t xml:space="preserve">Enter </w:t>
      </w:r>
      <w:r>
        <w:rPr>
          <w:lang w:val="en-GB"/>
        </w:rPr>
        <w:t xml:space="preserve">a descriptive title, for example </w:t>
      </w:r>
      <w:r>
        <w:rPr>
          <w:lang w:val="en-GB"/>
        </w:rPr>
        <w:t xml:space="preserve">“lixisenatide data entry tutorial” in the ‘Workspace title’ field at the top of the page.  </w:t>
      </w:r>
      <w:r>
        <w:rPr>
          <w:lang w:val="en-GB"/>
        </w:rPr>
        <w:t>I</w:t>
      </w:r>
      <w:r>
        <w:rPr>
          <w:lang w:val="en-GB"/>
        </w:rPr>
        <w:t xml:space="preserve">n the ‘Therapeutic context’ field </w:t>
      </w:r>
      <w:r>
        <w:rPr>
          <w:lang w:val="en-GB"/>
        </w:rPr>
        <w:t>enter sufficient information to give context for your effects table, e.g.</w:t>
      </w:r>
      <w:r>
        <w:rPr>
          <w:lang w:val="en-GB"/>
        </w:rPr>
        <w:t>: “Assessment of lixisenatide for the treatment of adults with type 2 diabetes mellitus to achieve glycaemic control in patients not adequately controlled on oral antidiabetics.”</w:t>
      </w:r>
    </w:p>
    <w:p>
      <w:pPr>
        <w:pStyle w:val="Heading2"/>
        <w:rPr/>
      </w:pPr>
      <w:r>
        <w:rPr>
          <w:lang w:val="en-GB"/>
        </w:rPr>
        <w:t>Enable favorability</w:t>
      </w:r>
    </w:p>
    <w:p>
      <w:pPr>
        <w:pStyle w:val="Normal"/>
        <w:rPr/>
      </w:pPr>
      <w:r>
        <w:rPr>
          <w:rFonts w:ascii="Calibri" w:hAnsi="Calibri"/>
          <w:b/>
          <w:bCs/>
          <w:lang w:val="en-GB"/>
        </w:rPr>
        <w:t xml:space="preserve">👉 </w:t>
      </w:r>
      <w:r>
        <w:rPr>
          <w:lang w:val="en-GB"/>
        </w:rPr>
        <w:t xml:space="preserve">Because our example groups </w:t>
      </w:r>
      <w:r>
        <w:rPr>
          <w:lang w:val="en-GB"/>
        </w:rPr>
        <w:t>the criteria into favourable and unfavourable effects</w:t>
      </w:r>
      <w:r>
        <w:rPr>
          <w:lang w:val="en-GB"/>
        </w:rPr>
        <w:t xml:space="preserve">, </w:t>
      </w:r>
      <w:r>
        <w:rPr>
          <w:lang w:val="en-GB"/>
        </w:rPr>
        <w:t xml:space="preserve">check the ‘Use favorability’ checkbox below the ‘Criteria’ heading. </w:t>
      </w:r>
      <w:r>
        <w:rPr>
          <w:lang w:val="en-GB"/>
        </w:rPr>
        <w:t xml:space="preserve">Now we can proceed to define the criteria (i.e. the outcome variables used to evaluate the different treatments). </w:t>
      </w:r>
    </w:p>
    <w:p>
      <w:pPr>
        <w:pStyle w:val="Normal"/>
        <w:rPr/>
      </w:pPr>
      <w:r>
        <w:rPr>
          <w:b/>
          <w:bCs/>
          <w:i w:val="false"/>
          <w:sz w:val="22"/>
          <w:lang w:val="en-GB"/>
        </w:rPr>
        <w:t xml:space="preserve">🎓 </w:t>
      </w:r>
      <w:r>
        <w:rPr>
          <w:b w:val="false"/>
          <w:i w:val="false"/>
          <w:sz w:val="22"/>
          <w:lang w:val="en-GB"/>
        </w:rPr>
        <w:t xml:space="preserve">Criteria are outcome variables used to evaluate therapeutic strategies. A criterion has a name (a short identifier) </w:t>
      </w:r>
      <w:r>
        <w:rPr>
          <w:sz w:val="22"/>
        </w:rPr>
        <w:t xml:space="preserve">a description (defining what was measured, e.g. for “HbA1c” this could be “mean change from baseline” or “median absolute value”), and optionally the unit in which it is measured. Associated with each criterion are one or more data sources that measure this outcome for different treatments. During drug regulation assessments, criteria may also be classified as favourable or unfavourable, with favourable criteria being ones where a new treatment under consideration outperforms the status quo. </w:t>
      </w:r>
    </w:p>
    <w:p>
      <w:pPr>
        <w:pStyle w:val="Heading2"/>
        <w:rPr/>
      </w:pPr>
      <w:r>
        <w:rPr>
          <w:lang w:val="en-GB"/>
        </w:rPr>
        <w:t xml:space="preserve">Add the </w:t>
      </w:r>
      <w:r>
        <w:rPr>
          <w:lang w:val="en-GB"/>
        </w:rPr>
        <w:t>HbA1c favourable effect</w:t>
      </w:r>
    </w:p>
    <w:p>
      <w:pPr>
        <w:pStyle w:val="Normal"/>
        <w:rPr/>
      </w:pPr>
      <w:r>
        <w:rPr>
          <w:rFonts w:ascii="Calibri" w:hAnsi="Calibri"/>
          <w:b/>
          <w:bCs/>
          <w:lang w:val="en-GB"/>
        </w:rPr>
        <w:t>👉</w:t>
      </w:r>
      <w:r>
        <w:rPr>
          <w:lang w:val="en-GB"/>
        </w:rPr>
        <w:t xml:space="preserve"> </w:t>
      </w:r>
      <w:r>
        <w:rPr>
          <w:lang w:val="en-GB"/>
        </w:rPr>
        <w:t xml:space="preserve">Click </w:t>
      </w:r>
      <w:r>
        <w:rPr>
          <w:lang w:val="en-GB"/>
        </w:rPr>
        <w:t>‘Add Criterion’ button.</w:t>
      </w:r>
    </w:p>
    <w:p>
      <w:pPr>
        <w:pStyle w:val="Normal"/>
        <w:rPr/>
      </w:pPr>
      <w:r>
        <w:rPr>
          <w:b/>
          <w:bCs/>
          <w:i w:val="false"/>
          <w:sz w:val="22"/>
          <w:lang w:val="en-GB"/>
        </w:rPr>
        <w:t xml:space="preserve">🎓 </w:t>
      </w:r>
      <w:r>
        <w:rPr>
          <w:lang w:val="en-GB"/>
        </w:rPr>
        <w:t>Th</w:t>
      </w:r>
      <w:r>
        <w:rPr>
          <w:lang w:val="en-GB"/>
        </w:rPr>
        <w:t xml:space="preserve">e upper section </w:t>
      </w:r>
      <w:r>
        <w:rPr>
          <w:lang w:val="en-GB"/>
        </w:rPr>
        <w:t xml:space="preserve">of the criterion creation dialog </w:t>
      </w:r>
      <w:r>
        <w:rPr>
          <w:lang w:val="en-GB"/>
        </w:rPr>
        <w:t>(</w:t>
      </w:r>
      <w:r>
        <w:rPr>
          <w:lang w:val="en-GB"/>
        </w:rPr>
        <w:t xml:space="preserve">title, description, </w:t>
      </w:r>
      <w:r>
        <w:rPr>
          <w:lang w:val="en-GB"/>
        </w:rPr>
        <w:t>unit</w:t>
      </w:r>
      <w:r>
        <w:rPr>
          <w:lang w:val="en-GB"/>
        </w:rPr>
        <w:t xml:space="preserve"> </w:t>
      </w:r>
      <w:r>
        <w:rPr>
          <w:lang w:val="en-GB"/>
        </w:rPr>
        <w:t>and favorability)</w:t>
      </w:r>
      <w:r>
        <w:rPr>
          <w:lang w:val="en-GB"/>
        </w:rPr>
        <w:t xml:space="preserve"> </w:t>
      </w:r>
      <w:r>
        <w:rPr>
          <w:lang w:val="en-GB"/>
        </w:rPr>
        <w:t>describes the criterion, and the following section concerns the characteristics of the data used to measure it (</w:t>
      </w:r>
      <w:r>
        <w:rPr>
          <w:lang w:val="en-GB"/>
        </w:rPr>
        <w:t>further explained in Box x</w:t>
      </w:r>
      <w:r>
        <w:rPr>
          <w:lang w:val="en-GB"/>
        </w:rPr>
        <w:t>)</w:t>
      </w:r>
      <w:r>
        <w:rPr>
          <w:lang w:val="en-GB"/>
        </w:rPr>
        <w:t xml:space="preserve">.  </w:t>
      </w:r>
      <w:r>
        <w:rPr>
          <w:lang w:val="en-GB"/>
        </w:rPr>
        <w:t xml:space="preserve">Creating a criterion </w:t>
      </w:r>
      <w:r>
        <w:rPr>
          <w:lang w:val="en-GB"/>
        </w:rPr>
        <w:t>implicitly also</w:t>
      </w:r>
      <w:r>
        <w:rPr>
          <w:lang w:val="en-GB"/>
        </w:rPr>
        <w:t xml:space="preserve"> </w:t>
      </w:r>
      <w:r>
        <w:rPr>
          <w:lang w:val="en-GB"/>
        </w:rPr>
        <w:t xml:space="preserve">involves </w:t>
      </w:r>
      <w:r>
        <w:rPr>
          <w:lang w:val="en-GB"/>
        </w:rPr>
        <w:t>specif</w:t>
      </w:r>
      <w:r>
        <w:rPr>
          <w:lang w:val="en-GB"/>
        </w:rPr>
        <w:t xml:space="preserve">ication of </w:t>
      </w:r>
      <w:r>
        <w:rPr>
          <w:lang w:val="en-GB"/>
        </w:rPr>
        <w:t>a data source. Further data sources can be added later (see Step 6).</w:t>
      </w:r>
      <w:r>
        <w:rPr>
          <w:lang w:val="en-GB"/>
        </w:rPr>
        <w:t xml:space="preserve"> </w:t>
      </w:r>
    </w:p>
    <w:p>
      <w:pPr>
        <w:pStyle w:val="Normal"/>
        <w:rPr/>
      </w:pPr>
      <w:r>
        <w:rPr>
          <w:lang w:val="en-GB"/>
        </w:rPr>
        <w:t xml:space="preserve"> </w:t>
      </w:r>
      <w:r>
        <w:rPr>
          <w:rFonts w:ascii="Calibri" w:hAnsi="Calibri"/>
          <w:b/>
          <w:bCs/>
          <w:lang w:val="en-GB"/>
        </w:rPr>
        <w:t>👉</w:t>
      </w:r>
      <w:r>
        <w:rPr>
          <w:rFonts w:ascii="Calibri" w:hAnsi="Calibri"/>
          <w:b w:val="false"/>
          <w:bCs w:val="false"/>
          <w:lang w:val="en-GB"/>
        </w:rPr>
        <w:t xml:space="preserve"> </w:t>
      </w:r>
      <w:r>
        <w:rPr>
          <w:rFonts w:ascii="Calibri" w:hAnsi="Calibri"/>
          <w:b w:val="false"/>
          <w:bCs w:val="false"/>
          <w:lang w:val="en-GB"/>
        </w:rPr>
        <w:t>F</w:t>
      </w:r>
      <w:r>
        <w:rPr>
          <w:lang w:val="en-GB"/>
        </w:rPr>
        <w:t xml:space="preserve">ill out the criterion </w:t>
      </w:r>
      <w:r>
        <w:rPr>
          <w:lang w:val="en-GB"/>
        </w:rPr>
        <w:t>dialog</w:t>
      </w:r>
      <w:r>
        <w:rPr>
          <w:lang w:val="en-GB"/>
        </w:rPr>
        <w:t xml:space="preserve"> as shown in Figure x </w:t>
      </w:r>
      <w:r>
        <w:rPr>
          <w:lang w:val="en-GB"/>
        </w:rPr>
        <w:t>(you can copy/paste the reference for the first data source and uncertainties texts from Table 1)</w:t>
      </w:r>
      <w:r>
        <w:rPr>
          <w:lang w:val="en-GB"/>
        </w:rPr>
        <w:t xml:space="preserve">.  </w:t>
      </w:r>
    </w:p>
    <w:p>
      <w:pPr>
        <w:pStyle w:val="Normal"/>
        <w:rPr/>
      </w:pPr>
      <w:r>
        <w:rPr>
          <w:b/>
          <w:bCs/>
          <w:i w:val="false"/>
          <w:sz w:val="22"/>
          <w:lang w:val="en-GB"/>
        </w:rPr>
        <w:t xml:space="preserve">🎓 </w:t>
      </w:r>
      <w:r>
        <w:rPr>
          <w:lang w:val="en-GB"/>
        </w:rPr>
        <w:t xml:space="preserve">Assessments often include data from multiple studies that measured a specific criterion, especially in the case of favorable effects. In the next step we will show how to add more data sources to a criterion. </w:t>
      </w:r>
      <w:commentRangeStart w:id="0"/>
      <w:r>
        <w:rPr>
          <w:lang w:val="en-GB"/>
        </w:rPr>
        <w:t>For more details on how data of a source are supplied see the Appendix.</w:t>
      </w:r>
      <w:commentRangeEnd w:id="0"/>
      <w:r>
        <w:commentReference w:id="0"/>
      </w:r>
      <w:r>
        <w:rPr>
          <w:lang w:val="en-GB"/>
        </w:rPr>
      </w:r>
    </w:p>
    <w:p>
      <w:pPr>
        <w:pStyle w:val="Heading2"/>
        <w:rPr/>
      </w:pPr>
      <w:r>
        <w:rPr>
          <w:lang w:val="en-GB"/>
        </w:rPr>
        <w:t>A</w:t>
      </w:r>
      <w:r>
        <w:rPr>
          <w:lang w:val="en-GB"/>
        </w:rPr>
        <w:t>dd a second data source for HbA1c</w:t>
      </w:r>
    </w:p>
    <w:p>
      <w:pPr>
        <w:pStyle w:val="Normal"/>
        <w:rPr/>
      </w:pPr>
      <w:r>
        <w:rPr>
          <w:rFonts w:ascii="Calibri" w:hAnsi="Calibri"/>
          <w:b/>
          <w:bCs/>
          <w:lang w:val="en-GB"/>
        </w:rPr>
        <w:t>👉</w:t>
      </w:r>
      <w:r>
        <w:rPr>
          <w:rFonts w:ascii="Calibri" w:hAnsi="Calibri"/>
          <w:b w:val="false"/>
          <w:bCs w:val="false"/>
          <w:lang w:val="en-GB"/>
        </w:rPr>
        <w:t xml:space="preserve"> </w:t>
      </w:r>
      <w:r>
        <w:rPr>
          <w:lang w:val="en-GB"/>
        </w:rPr>
        <w:t>On the HbA1c criterion, click the ‘Add data source’ button. In the dialog, specify the referenc</w:t>
      </w:r>
      <w:r>
        <w:rPr>
          <w:rFonts w:ascii="Calibri" w:hAnsi="Calibri"/>
          <w:sz w:val="22"/>
          <w:szCs w:val="22"/>
          <w:lang w:val="en-GB"/>
        </w:rPr>
        <w:t>e</w:t>
      </w:r>
      <w:r>
        <w:rPr>
          <w:rFonts w:cs="Courier New" w:ascii="Calibri" w:hAnsi="Calibri"/>
          <w:color w:val="000000"/>
          <w:sz w:val="22"/>
          <w:szCs w:val="22"/>
          <w:lang w:val="en-GB"/>
        </w:rPr>
        <w:t xml:space="preserve"> “EFC6015” and leave the other fields unchanged </w:t>
      </w:r>
      <w:r>
        <w:rPr>
          <w:rFonts w:cs="Courier New" w:ascii="Calibri" w:hAnsi="Calibri"/>
          <w:color w:val="000000"/>
          <w:sz w:val="22"/>
          <w:szCs w:val="22"/>
          <w:lang w:val="en-GB"/>
        </w:rPr>
        <w:t>(the data from this study are reported in the same format as step 5)</w:t>
      </w:r>
      <w:r>
        <w:rPr>
          <w:rFonts w:cs="Courier New" w:ascii="Calibri" w:hAnsi="Calibri"/>
          <w:color w:val="000000"/>
          <w:sz w:val="22"/>
          <w:szCs w:val="22"/>
          <w:lang w:val="en-GB"/>
        </w:rPr>
        <w:t>. Then click ‘Add.’ Now there should be a second row in the data sources for the criterion.</w:t>
      </w:r>
    </w:p>
    <w:p>
      <w:pPr>
        <w:pStyle w:val="Heading2"/>
        <w:rPr/>
      </w:pPr>
      <w:r>
        <w:rPr>
          <w:lang w:val="en-GB"/>
        </w:rPr>
        <w:t>A</w:t>
      </w:r>
      <w:r>
        <w:rPr>
          <w:lang w:val="en-GB"/>
        </w:rPr>
        <w:t>dd nausea as an unfavourable effect</w:t>
      </w:r>
    </w:p>
    <w:p>
      <w:pPr>
        <w:pStyle w:val="Normal"/>
        <w:rPr/>
      </w:pPr>
      <w:r>
        <w:rPr>
          <w:rFonts w:ascii="Calibri" w:hAnsi="Calibri"/>
          <w:b/>
          <w:bCs/>
          <w:lang w:val="en-GB"/>
        </w:rPr>
        <w:t>👉</w:t>
      </w:r>
      <w:r>
        <w:rPr>
          <w:rFonts w:ascii="Calibri" w:hAnsi="Calibri"/>
          <w:b w:val="false"/>
          <w:bCs w:val="false"/>
          <w:lang w:val="en-GB"/>
        </w:rPr>
        <w:t xml:space="preserve"> </w:t>
      </w:r>
      <w:r>
        <w:rPr>
          <w:lang w:val="en-GB"/>
        </w:rPr>
        <w:t xml:space="preserve">Click the ‘Add criterion’ button, fill in the dialog as specified in Figure x and click ‘Add’ </w:t>
      </w:r>
      <w:r>
        <w:rPr>
          <w:lang w:val="en-GB"/>
        </w:rPr>
        <w:t>(n</w:t>
      </w:r>
      <w:r>
        <w:rPr>
          <w:lang w:val="en-GB"/>
        </w:rPr>
        <w:t>ote that favourability is now ‘Not favorable’ and that the units are left blank</w:t>
      </w:r>
      <w:r>
        <w:rPr>
          <w:lang w:val="en-GB"/>
        </w:rPr>
        <w:t>)</w:t>
      </w:r>
      <w:r>
        <w:rPr>
          <w:lang w:val="en-GB"/>
        </w:rPr>
        <w:t>. The reference for the data source is “Pooled data from all phase 2/3 controlled studies.”  There are no further data sources for this criterion.</w:t>
      </w:r>
    </w:p>
    <w:p>
      <w:pPr>
        <w:pStyle w:val="Heading2"/>
        <w:rPr/>
      </w:pPr>
      <w:r>
        <w:rPr>
          <w:lang w:val="en-GB"/>
        </w:rPr>
        <w:t>A</w:t>
      </w:r>
      <w:r>
        <w:rPr>
          <w:lang w:val="en-GB"/>
        </w:rPr>
        <w:t>dd lixisenatide and placebo as alternatives</w:t>
      </w:r>
    </w:p>
    <w:p>
      <w:pPr>
        <w:pStyle w:val="Normal"/>
        <w:rPr/>
      </w:pPr>
      <w:r>
        <w:rPr>
          <w:rFonts w:ascii="Calibri" w:hAnsi="Calibri"/>
          <w:b/>
          <w:bCs/>
          <w:lang w:val="en-GB"/>
        </w:rPr>
        <w:t>👉</w:t>
      </w:r>
      <w:r>
        <w:rPr>
          <w:rFonts w:ascii="Calibri" w:hAnsi="Calibri"/>
          <w:b w:val="false"/>
          <w:bCs w:val="false"/>
          <w:lang w:val="en-GB"/>
        </w:rPr>
        <w:t xml:space="preserve"> </w:t>
      </w:r>
      <w:r>
        <w:rPr>
          <w:lang w:val="en-GB"/>
        </w:rPr>
        <w:t xml:space="preserve">Under the ‘Alternatives’ header, fill in “lixisenatide” in the text box and click the ‘Add alternative’ button to the right, or hit the enter key. Now do the same for “placebo”. </w:t>
      </w:r>
    </w:p>
    <w:p>
      <w:pPr>
        <w:pStyle w:val="Normal"/>
        <w:rPr/>
      </w:pPr>
      <w:r>
        <w:rPr>
          <w:b/>
          <w:bCs/>
          <w:color w:val="auto"/>
          <w:lang w:val="en-GB"/>
        </w:rPr>
        <w:t>💡</w:t>
      </w:r>
      <w:r>
        <w:rPr>
          <w:b w:val="false"/>
          <w:bCs w:val="false"/>
          <w:color w:val="auto"/>
          <w:lang w:val="en-GB"/>
        </w:rPr>
        <w:t xml:space="preserve"> </w:t>
      </w:r>
      <w:r>
        <w:rPr>
          <w:b w:val="false"/>
          <w:bCs w:val="false"/>
          <w:color w:val="auto"/>
          <w:lang w:val="en-GB"/>
        </w:rPr>
        <w:t>Y</w:t>
      </w:r>
      <w:r>
        <w:rPr>
          <w:lang w:val="en-GB"/>
        </w:rPr>
        <w:t>ou can press the ‘Save’ button at any time to save your work in progress.</w:t>
      </w:r>
    </w:p>
    <w:p>
      <w:pPr>
        <w:pStyle w:val="Heading2"/>
        <w:rPr/>
      </w:pPr>
      <w:r>
        <w:rPr>
          <w:lang w:val="en-GB"/>
        </w:rPr>
        <w:t>P</w:t>
      </w:r>
      <w:r>
        <w:rPr>
          <w:lang w:val="en-GB"/>
        </w:rPr>
        <w:t xml:space="preserve">roceed to </w:t>
      </w:r>
      <w:r>
        <w:rPr>
          <w:lang w:val="en-GB"/>
        </w:rPr>
        <w:t>data entry</w:t>
      </w:r>
    </w:p>
    <w:p>
      <w:pPr>
        <w:pStyle w:val="Normal"/>
        <w:rPr>
          <w:lang w:val="en-GB"/>
        </w:rPr>
      </w:pPr>
      <w:bookmarkStart w:id="0" w:name="__DdeLink__22883_4288364939"/>
      <w:r>
        <w:rPr>
          <w:rFonts w:ascii="Calibri" w:hAnsi="Calibri"/>
          <w:b/>
          <w:bCs/>
          <w:lang w:val="en-GB"/>
        </w:rPr>
        <w:t>👉</w:t>
      </w:r>
      <w:r>
        <w:rPr>
          <w:rFonts w:ascii="Calibri" w:hAnsi="Calibri"/>
          <w:b w:val="false"/>
          <w:bCs w:val="false"/>
          <w:lang w:val="en-GB"/>
        </w:rPr>
        <w:t xml:space="preserve"> </w:t>
      </w:r>
      <w:bookmarkEnd w:id="0"/>
      <w:r>
        <w:rPr>
          <w:lang w:val="en-GB"/>
        </w:rPr>
        <w:t xml:space="preserve">Click the ‘Enter data’ button. Take a moment to inspect the effects table that the system has generated based on the information you entered. If you spot any errors or inconsistencies you can always click the ‘Back’ button to correct them. </w:t>
      </w:r>
    </w:p>
    <w:p>
      <w:pPr>
        <w:pStyle w:val="Normal"/>
        <w:rPr>
          <w:lang w:val="en-GB"/>
        </w:rPr>
      </w:pPr>
      <w:r>
        <w:rPr>
          <w:b w:val="false"/>
          <w:bCs w:val="false"/>
          <w:i w:val="false"/>
          <w:iCs w:val="false"/>
          <w:lang w:val="en-GB"/>
        </w:rPr>
        <w:t>⚠️</w:t>
      </w:r>
      <w:r>
        <w:rPr>
          <w:lang w:val="en-GB"/>
        </w:rPr>
        <w:t xml:space="preserve"> </w:t>
      </w:r>
      <w:r>
        <w:rPr>
          <w:lang w:val="en-GB"/>
        </w:rPr>
        <w:t>To prevent inconsistencies changing the characteristics of a criterion’s data source will delete any effects or distribution data you entered for that data source.</w:t>
      </w:r>
    </w:p>
    <w:p>
      <w:pPr>
        <w:pStyle w:val="Heading2"/>
        <w:rPr>
          <w:lang w:val="en-GB"/>
        </w:rPr>
      </w:pPr>
      <w:r>
        <w:rPr>
          <w:lang w:val="en-GB"/>
        </w:rPr>
        <w:t>E</w:t>
      </w:r>
      <w:r>
        <w:rPr>
          <w:lang w:val="en-GB"/>
        </w:rPr>
        <w:t>nter data</w:t>
      </w:r>
    </w:p>
    <w:p>
      <w:pPr>
        <w:pStyle w:val="Normal"/>
        <w:rPr>
          <w:lang w:val="en-GB"/>
        </w:rPr>
      </w:pPr>
      <w:r>
        <w:rPr>
          <w:rFonts w:ascii="Calibri" w:hAnsi="Calibri"/>
          <w:b/>
          <w:bCs/>
          <w:lang w:val="en-GB"/>
        </w:rPr>
        <w:t>👉</w:t>
      </w:r>
      <w:r>
        <w:rPr>
          <w:rFonts w:ascii="Calibri" w:hAnsi="Calibri"/>
          <w:b w:val="false"/>
          <w:bCs w:val="false"/>
          <w:lang w:val="en-GB"/>
        </w:rPr>
        <w:t xml:space="preserve"> </w:t>
      </w:r>
      <w:r>
        <w:rPr>
          <w:lang w:val="en-GB"/>
        </w:rPr>
        <w:t>Click on the red text saying ‘missing or invalid input’ for the ‘Pooled data’ data source of HbA1c. Fill out the dialog as shown in Figure x, and click anywhere on the page outside of the dialog to close it.</w:t>
      </w:r>
    </w:p>
    <w:p>
      <w:pPr>
        <w:pStyle w:val="Normal"/>
        <w:rPr>
          <w:lang w:val="en-GB"/>
        </w:rPr>
      </w:pPr>
      <w:r>
        <w:rPr>
          <w:lang w:val="en-GB"/>
        </w:rPr>
        <w:t xml:space="preserve">The values you entered should now be shown in the table (Figure x). </w:t>
      </w:r>
    </w:p>
    <w:p>
      <w:pPr>
        <w:pStyle w:val="Normal"/>
        <w:rPr>
          <w:lang w:val="en-GB"/>
        </w:rPr>
      </w:pPr>
      <w:r>
        <w:rPr>
          <w:rFonts w:ascii="Calibri" w:hAnsi="Calibri"/>
          <w:b/>
          <w:bCs/>
          <w:lang w:val="en-GB"/>
        </w:rPr>
        <w:t>👉</w:t>
      </w:r>
      <w:r>
        <w:rPr>
          <w:rFonts w:ascii="Calibri" w:hAnsi="Calibri"/>
          <w:b w:val="false"/>
          <w:bCs w:val="false"/>
          <w:lang w:val="en-GB"/>
        </w:rPr>
        <w:t xml:space="preserve"> </w:t>
      </w:r>
      <w:r>
        <w:rPr>
          <w:lang w:val="en-GB"/>
        </w:rPr>
        <w:t>P</w:t>
      </w:r>
      <w:r>
        <w:rPr>
          <w:lang w:val="en-GB"/>
        </w:rPr>
        <w:t>roceed to fill out the rest of the data for HbA1c with the values from Table 1.</w:t>
      </w:r>
    </w:p>
    <w:p>
      <w:pPr>
        <w:pStyle w:val="Normal"/>
        <w:rPr>
          <w:lang w:val="en-GB"/>
        </w:rPr>
      </w:pPr>
      <w:r>
        <w:rPr>
          <w:rFonts w:ascii="Calibri" w:hAnsi="Calibri"/>
          <w:b/>
          <w:bCs/>
          <w:lang w:val="en-GB"/>
        </w:rPr>
        <w:t>👉</w:t>
      </w:r>
      <w:r>
        <w:rPr>
          <w:rFonts w:ascii="Calibri" w:hAnsi="Calibri"/>
          <w:b w:val="false"/>
          <w:bCs w:val="false"/>
          <w:lang w:val="en-GB"/>
        </w:rPr>
        <w:t xml:space="preserve"> </w:t>
      </w:r>
      <w:r>
        <w:rPr>
          <w:lang w:val="en-GB"/>
        </w:rPr>
        <w:t xml:space="preserve">Similarly, fill out the cells for Nausea, with the values from Table 1, selecting ‘Percentage’ as the input parameters. </w:t>
      </w:r>
    </w:p>
    <w:p>
      <w:pPr>
        <w:pStyle w:val="Normal"/>
        <w:rPr>
          <w:lang w:val="en-GB"/>
        </w:rPr>
      </w:pPr>
      <w:r>
        <w:rPr>
          <w:lang w:val="en-GB"/>
        </w:rPr>
        <w:t>Your final effects table should look like Figure x</w:t>
      </w:r>
    </w:p>
    <w:p>
      <w:pPr>
        <w:pStyle w:val="Heading2"/>
        <w:rPr>
          <w:lang w:val="en-GB"/>
        </w:rPr>
      </w:pPr>
      <w:r>
        <w:rPr>
          <w:lang w:val="en-GB"/>
        </w:rPr>
        <w:t>Finalize entry</w:t>
      </w:r>
    </w:p>
    <w:p>
      <w:pPr>
        <w:pStyle w:val="Normal"/>
        <w:rPr>
          <w:lang w:val="en-GB"/>
        </w:rPr>
      </w:pPr>
      <w:r>
        <w:rPr>
          <w:lang w:val="en-GB"/>
        </w:rPr>
        <w:t xml:space="preserve">You have now finished preparing your effects table for analysis. </w:t>
      </w:r>
    </w:p>
    <w:p>
      <w:pPr>
        <w:pStyle w:val="Normal"/>
        <w:rPr>
          <w:lang w:val="en-GB"/>
        </w:rPr>
      </w:pPr>
      <w:r>
        <w:rPr>
          <w:rFonts w:ascii="Calibri" w:hAnsi="Calibri"/>
          <w:b/>
          <w:bCs/>
          <w:lang w:val="en-GB"/>
        </w:rPr>
        <w:t>👉</w:t>
      </w:r>
      <w:r>
        <w:rPr>
          <w:rFonts w:ascii="Calibri" w:hAnsi="Calibri"/>
          <w:b w:val="false"/>
          <w:bCs w:val="false"/>
          <w:lang w:val="en-GB"/>
        </w:rPr>
        <w:t xml:space="preserve"> </w:t>
      </w:r>
      <w:r>
        <w:rPr>
          <w:lang w:val="en-GB"/>
        </w:rPr>
        <w:t>Click ‘Done’ and you will go to the overview page of your newly-created workspace.</w:t>
      </w:r>
    </w:p>
    <w:p>
      <w:pPr>
        <w:pStyle w:val="Heading1"/>
        <w:rPr/>
      </w:pPr>
      <w:r>
        <w:rPr/>
        <w:t>Appendix: Data source characteristics</w:t>
      </w:r>
    </w:p>
    <w:p>
      <w:pPr>
        <w:pStyle w:val="Normal"/>
        <w:rPr>
          <w:lang w:val="en-GB"/>
        </w:rPr>
      </w:pPr>
      <w:r>
        <w:rPr>
          <w:b w:val="false"/>
          <w:i w:val="false"/>
          <w:sz w:val="22"/>
          <w:lang w:val="en-GB"/>
        </w:rPr>
        <w:t xml:space="preserve">The data for a specific characteristic can be supplied </w:t>
      </w:r>
      <w:r>
        <w:rPr>
          <w:lang w:val="en-GB"/>
        </w:rPr>
        <w:t>in several ways, depending both on the way in which they were measured, and the interests of the supplier of the data and the analyst. The main consequence of these differences for the MCDA process is whether Stochastic Multicriteria Acceptability Analysis (SMAA) is possible, because stochastic analysis requires that the distributions for the effects are either known or can be derived.</w:t>
      </w:r>
    </w:p>
    <w:p>
      <w:pPr>
        <w:pStyle w:val="Normal"/>
        <w:rPr/>
      </w:pPr>
      <w:r>
        <w:rPr/>
        <w:t xml:space="preserve"> </w:t>
      </w:r>
    </w:p>
    <w:p>
      <w:pPr>
        <w:pStyle w:val="Normal"/>
        <w:rPr/>
      </w:pPr>
      <w:r>
        <w:rPr/>
        <w:t xml:space="preserve"> </w:t>
      </w:r>
      <w:r>
        <w:rPr>
          <w:b w:val="false"/>
          <w:i w:val="false"/>
          <w:sz w:val="22"/>
        </w:rPr>
        <w:t xml:space="preserve">Distributions can be entered either as source data </w:t>
      </w:r>
      <w:r>
        <w:rPr/>
        <w:t>(e.g. event rates out of a certain sample size) from which the distribution will be derived, or by entering the distribution manually (e.g. a Normal distribution with certain mean and standard deviation).</w:t>
      </w:r>
    </w:p>
    <w:p>
      <w:pPr>
        <w:pStyle w:val="Normal"/>
        <w:rPr/>
      </w:pPr>
      <w:r>
        <w:rPr/>
        <w:t xml:space="preserve"> </w:t>
      </w:r>
    </w:p>
    <w:p>
      <w:pPr>
        <w:pStyle w:val="Normal"/>
        <w:rPr/>
      </w:pPr>
      <w:r>
        <w:rPr/>
        <w:t xml:space="preserve"> </w:t>
      </w:r>
      <w:r>
        <w:rPr>
          <w:b w:val="false"/>
          <w:i w:val="false"/>
          <w:sz w:val="22"/>
        </w:rPr>
        <w:t xml:space="preserve">Dichotomous data concern measurements where a </w:t>
      </w:r>
      <w:r>
        <w:rPr/>
        <w:t>proportion of patients either did or did not have a certain characteristic (e.g. reported a headache).</w:t>
      </w:r>
    </w:p>
    <w:p>
      <w:pPr>
        <w:pStyle w:val="Normal"/>
        <w:rPr/>
      </w:pPr>
      <w:r>
        <w:rPr/>
        <w:t xml:space="preserve"> </w:t>
      </w:r>
      <w:r>
        <w:rPr>
          <w:b w:val="false"/>
          <w:i w:val="false"/>
          <w:sz w:val="22"/>
        </w:rPr>
        <w:t xml:space="preserve">Continuous data concern value measurements (e.g. </w:t>
      </w:r>
      <w:r>
        <w:rPr/>
        <w:t>blood sugar level).</w:t>
      </w:r>
    </w:p>
    <w:p>
      <w:pPr>
        <w:pStyle w:val="Normal"/>
        <w:rPr/>
      </w:pPr>
      <w:r>
        <w:rPr/>
        <w:t xml:space="preserve"> </w:t>
      </w:r>
      <w:r>
        <w:rPr>
          <w:b w:val="false"/>
          <w:i w:val="false"/>
          <w:sz w:val="22"/>
        </w:rPr>
        <w:t xml:space="preserve">In case of continuous data, you can choose which </w:t>
      </w:r>
      <w:r>
        <w:rPr/>
        <w:t>point estimate parameter is the one of interest: either the mean, median or cumulative probability.</w:t>
      </w:r>
    </w:p>
    <w:p>
      <w:pPr>
        <w:pStyle w:val="Normal"/>
        <w:rPr/>
      </w:pPr>
      <w:r>
        <w:rPr/>
        <w:t xml:space="preserve"> </w:t>
      </w:r>
    </w:p>
    <w:p>
      <w:pPr>
        <w:pStyle w:val="Normal"/>
        <w:spacing w:before="0" w:after="200"/>
        <w:rPr>
          <w:lang w:val="en-GB"/>
        </w:rPr>
      </w:pPr>
      <w:r>
        <w:rPr>
          <w:lang w:val="en-GB"/>
        </w:rPr>
      </w:r>
    </w:p>
    <w:sectPr>
      <w:footerReference w:type="default" r:id="rId4"/>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an Reid" w:date="2019-01-14T14:32:50Z" w:initials="DR">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Memo: improve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Verdana">
    <w:charset w:val="00"/>
    <w:family w:val="roman"/>
    <w:pitch w:val="variable"/>
  </w:font>
  <w:font w:name="Liberation Sans">
    <w:altName w:val="Arial"/>
    <w:charset w:val="00"/>
    <w:family w:val="swiss"/>
    <w:pitch w:val="variable"/>
  </w:font>
  <w:font w:name="Arial">
    <w:charset w:val="00"/>
    <w:family w:val="roman"/>
    <w:pitch w:val="variable"/>
  </w:font>
  <w:font w:name="Cambria">
    <w:charset w:val="01"/>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81321802"/>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412f7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Kop2Char"/>
    <w:uiPriority w:val="9"/>
    <w:unhideWhenUsed/>
    <w:qFormat/>
    <w:rsid w:val="002760b2"/>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sid w:val="00412f71"/>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Internet Link"/>
    <w:basedOn w:val="DefaultParagraphFont"/>
    <w:uiPriority w:val="99"/>
    <w:unhideWhenUsed/>
    <w:rsid w:val="00fb165f"/>
    <w:rPr>
      <w:color w:val="0000FF" w:themeColor="hyperlink"/>
      <w:u w:val="single"/>
    </w:rPr>
  </w:style>
  <w:style w:type="character" w:styleId="Kop2Char" w:customStyle="1">
    <w:name w:val="Kop 2 Char"/>
    <w:basedOn w:val="DefaultParagraphFont"/>
    <w:link w:val="Kop2"/>
    <w:uiPriority w:val="9"/>
    <w:qFormat/>
    <w:rsid w:val="002760b2"/>
    <w:rPr>
      <w:rFonts w:ascii="Cambria" w:hAnsi="Cambria" w:eastAsia="" w:cs="" w:asciiTheme="majorHAnsi" w:cstheme="majorBidi" w:eastAsiaTheme="majorEastAsia" w:hAnsiTheme="majorHAnsi"/>
      <w:b/>
      <w:bCs/>
      <w:color w:val="4F81BD" w:themeColor="accent1"/>
      <w:sz w:val="26"/>
      <w:szCs w:val="26"/>
    </w:rPr>
  </w:style>
  <w:style w:type="character" w:styleId="BallontekstChar" w:customStyle="1">
    <w:name w:val="Ballontekst Char"/>
    <w:basedOn w:val="DefaultParagraphFont"/>
    <w:link w:val="Ballontekst"/>
    <w:uiPriority w:val="99"/>
    <w:semiHidden/>
    <w:qFormat/>
    <w:rsid w:val="006674d6"/>
    <w:rPr>
      <w:rFonts w:ascii="Tahoma" w:hAnsi="Tahoma" w:cs="Tahoma"/>
      <w:sz w:val="16"/>
      <w:szCs w:val="16"/>
    </w:rPr>
  </w:style>
  <w:style w:type="character" w:styleId="KoptekstChar" w:customStyle="1">
    <w:name w:val="Koptekst Char"/>
    <w:basedOn w:val="DefaultParagraphFont"/>
    <w:link w:val="Koptekst"/>
    <w:uiPriority w:val="99"/>
    <w:qFormat/>
    <w:rsid w:val="006674d6"/>
    <w:rPr/>
  </w:style>
  <w:style w:type="character" w:styleId="VoettekstChar" w:customStyle="1">
    <w:name w:val="Voettekst Char"/>
    <w:basedOn w:val="DefaultParagraphFont"/>
    <w:link w:val="Voettekst"/>
    <w:uiPriority w:val="99"/>
    <w:qFormat/>
    <w:rsid w:val="006674d6"/>
    <w:rPr/>
  </w:style>
  <w:style w:type="character" w:styleId="BodytextAgencyChar" w:customStyle="1">
    <w:name w:val="Body text (Agency) Char"/>
    <w:link w:val="BodytextAgency"/>
    <w:qFormat/>
    <w:rsid w:val="002a039f"/>
    <w:rPr>
      <w:rFonts w:ascii="Verdana" w:hAnsi="Verdana" w:eastAsia="Verdana" w:cs="Verdana"/>
      <w:sz w:val="18"/>
      <w:szCs w:val="18"/>
      <w:lang w:val="en-GB" w:eastAsia="en-GB"/>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ntekstChar"/>
    <w:uiPriority w:val="99"/>
    <w:semiHidden/>
    <w:unhideWhenUsed/>
    <w:qFormat/>
    <w:rsid w:val="006674d6"/>
    <w:pPr>
      <w:spacing w:lineRule="auto" w:line="240" w:before="0" w:after="0"/>
    </w:pPr>
    <w:rPr>
      <w:rFonts w:ascii="Tahoma" w:hAnsi="Tahoma" w:cs="Tahoma"/>
      <w:sz w:val="16"/>
      <w:szCs w:val="16"/>
    </w:rPr>
  </w:style>
  <w:style w:type="paragraph" w:styleId="Header">
    <w:name w:val="Header"/>
    <w:basedOn w:val="Normal"/>
    <w:link w:val="KoptekstChar"/>
    <w:uiPriority w:val="99"/>
    <w:unhideWhenUsed/>
    <w:rsid w:val="006674d6"/>
    <w:pPr>
      <w:tabs>
        <w:tab w:val="clear" w:pos="720"/>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6674d6"/>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832f4c"/>
    <w:pPr>
      <w:spacing w:before="0" w:after="200"/>
      <w:ind w:left="720" w:hanging="0"/>
      <w:contextualSpacing/>
    </w:pPr>
    <w:rPr/>
  </w:style>
  <w:style w:type="paragraph" w:styleId="BodytextAgency" w:customStyle="1">
    <w:name w:val="Body text (Agency)"/>
    <w:basedOn w:val="Normal"/>
    <w:link w:val="BodytextAgencyChar"/>
    <w:qFormat/>
    <w:rsid w:val="002a039f"/>
    <w:pPr>
      <w:spacing w:lineRule="atLeast" w:line="280" w:before="0" w:after="140"/>
    </w:pPr>
    <w:rPr>
      <w:rFonts w:ascii="Verdana" w:hAnsi="Verdana" w:eastAsia="Verdana" w:cs="Verdana"/>
      <w:sz w:val="18"/>
      <w:szCs w:val="18"/>
      <w:lang w:val="en-GB" w:eastAsia="en-GB"/>
    </w:rPr>
  </w:style>
  <w:style w:type="paragraph" w:styleId="Default" w:customStyle="1">
    <w:name w:val="Default"/>
    <w:qFormat/>
    <w:rsid w:val="002a039f"/>
    <w:pPr>
      <w:widowControl/>
      <w:bidi w:val="0"/>
      <w:spacing w:lineRule="auto" w:line="240" w:before="0" w:after="0"/>
      <w:jc w:val="left"/>
    </w:pPr>
    <w:rPr>
      <w:rFonts w:ascii="Arial" w:hAnsi="Arial" w:eastAsia="SimSun" w:cs="Arial"/>
      <w:color w:val="000000"/>
      <w:kern w:val="0"/>
      <w:sz w:val="24"/>
      <w:szCs w:val="24"/>
      <w:lang w:val="en-GB" w:eastAsia="en-GB" w:bidi="ar-SA"/>
    </w:rPr>
  </w:style>
  <w:style w:type="paragraph" w:styleId="Caption1">
    <w:name w:val="caption"/>
    <w:basedOn w:val="Normal"/>
    <w:next w:val="Normal"/>
    <w:uiPriority w:val="35"/>
    <w:unhideWhenUsed/>
    <w:qFormat/>
    <w:rsid w:val="006c08aa"/>
    <w:pPr>
      <w:spacing w:lineRule="auto" w:line="240"/>
    </w:pPr>
    <w:rPr>
      <w:b/>
      <w:bCs/>
      <w:color w:val="4F81BD" w:themeColor="accent1"/>
      <w:sz w:val="18"/>
      <w:szCs w:val="18"/>
    </w:rPr>
  </w:style>
  <w:style w:type="paragraph" w:styleId="FrameContents">
    <w:name w:val="Frame Contents"/>
    <w:basedOn w:val="Normal"/>
    <w:qFormat/>
    <w:pPr/>
    <w:rPr/>
  </w:style>
  <w:style w:type="paragraph" w:styleId="Title">
    <w:name w:val="Title"/>
    <w:basedOn w:val="Heading"/>
    <w:next w:val="TextBody"/>
    <w:qFormat/>
    <w:pPr>
      <w:jc w:val="center"/>
    </w:pPr>
    <w:rPr>
      <w:b/>
      <w:bCs/>
      <w:sz w:val="56"/>
      <w:szCs w:val="56"/>
    </w:rPr>
  </w:style>
  <w:style w:type="paragraph" w:styleId="Box">
    <w:name w:val="Box"/>
    <w:basedOn w:val="Caption"/>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ma.europa.eu/documents/template-form/day-80-assessment-report-overview-d120-loq-template-guidance-rev-0718_en.doc" TargetMode="External"/><Relationship Id="rId3" Type="http://schemas.openxmlformats.org/officeDocument/2006/relationships/hyperlink" Target="https://mcda.drugis.org/" TargetMode="Externa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LibreOffice/6.1.2.1$Windows_X86_64 LibreOffice_project/65905a128db06ba48db947242809d14d3f9a93fe</Application>
  <Pages>5</Pages>
  <Words>1458</Words>
  <Characters>7749</Characters>
  <CharactersWithSpaces>9150</CharactersWithSpaces>
  <Paragraphs>87</Paragraphs>
  <Company>Universitair Medisch Centrum Groningen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2019-01-11T11:57:00Z</dcterms:created>
  <dc:creator>Postmus, D</dc:creator>
  <dc:description/>
  <dc:language>en-GB</dc:language>
  <cp:lastModifiedBy>Daan Reid</cp:lastModifiedBy>
  <cp:lastPrinted>2019-01-08T17:38:00Z</cp:lastPrinted>
  <dcterms:modified xsi:type="dcterms:W3CDTF">2019-01-14T14:39:17Z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Universitair Medisch Centrum Groningen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