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</w:rPr>
        <w:t xml:space="preserve">Universidade Regional Integrada do Alto Uruguai e das Missões — URI</w:t>
      </w:r>
    </w:p>
    <w:p>
      <w:pPr>
        <w:spacing w:after="120" w:line="276"/>
        <w:jc w:val="center"/>
      </w:pPr>
      <w:r>
        <w:t xml:space="preserve">Tópicos Especiais em Computação II – A (30-772)</w:t>
      </w:r>
    </w:p>
    <w:p>
      <w:pPr>
        <w:spacing w:after="120" w:line="276"/>
        <w:jc w:val="center"/>
      </w:pPr>
      <w:r>
        <w:t xml:space="preserve">Prof. Paulo Ricardo B. Betencourt</w:t>
      </w:r>
    </w:p>
    <w:p>
      <w:pPr>
        <w:spacing w:after="120" w:before="1600"/>
        <w:jc w:val="center"/>
      </w:pPr>
      <w:r>
        <w:rPr>
          <w:b/>
          <w:bCs/>
          <w:color w:val="1F4E79"/>
          <w:sz w:val="56"/>
          <w:szCs w:val="56"/>
        </w:rPr>
        <w:t xml:space="preserve">DecidAI</w:t>
      </w:r>
    </w:p>
    <w:p>
      <w:pPr>
        <w:jc w:val="center"/>
      </w:pPr>
      <w:r>
        <w:rPr>
          <w:b/>
          <w:bCs/>
          <w:sz w:val="30"/>
          <w:szCs w:val="30"/>
        </w:rPr>
        <w:t xml:space="preserve">Sistema de Apoio à Decisão para Planejamento de Produção sob Incerteza</w:t>
      </w:r>
    </w:p>
    <w:p>
      <w:pPr>
        <w:spacing w:before="240"/>
        <w:jc w:val="center"/>
      </w:pPr>
      <w:r>
        <w:rPr>
          <w:i/>
          <w:iCs/>
          <w:sz w:val="24"/>
          <w:szCs w:val="24"/>
        </w:rPr>
        <w:t xml:space="preserve">IA no Processo Decisório — Relatório Técnico</w:t>
      </w:r>
    </w:p>
    <w:p>
      <w:pPr>
        <w:spacing w:after="60" w:before="1800"/>
        <w:jc w:val="center"/>
      </w:pPr>
      <w:r>
        <w:rPr>
          <w:b/>
          <w:bCs/>
        </w:rPr>
        <w:t xml:space="preserve">Integrantes do grupo:</w:t>
      </w:r>
    </w:p>
    <w:p>
      <w:pPr>
        <w:spacing w:after="120" w:line="276"/>
        <w:jc w:val="center"/>
      </w:pPr>
      <w:r>
        <w:t xml:space="preserve">Daniel Dewes  •  Cesario Stoquero  •  Samuel Maciel •  Guilherme Capeletti</w:t>
      </w:r>
    </w:p>
    <w:p>
      <w:pPr>
        <w:spacing w:before="1200"/>
        <w:jc w:val="center"/>
      </w:pPr>
      <w:r>
        <w:t xml:space="preserve">Santo Ângelo — RS, 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Resumo Executivo</w:t>
      </w:r>
    </w:p>
    <w:p>
      <w:pPr>
        <w:spacing w:after="120" w:line="276"/>
        <w:jc w:val="both"/>
      </w:pPr>
      <w:r>
        <w:t xml:space="preserve">Este trabalho apresenta o </w:t>
      </w:r>
      <w:r>
        <w:rPr>
          <w:b/>
          <w:bCs/>
        </w:rPr>
        <w:t xml:space="preserve">DecidAI</w:t>
      </w:r>
      <w:r>
        <w:t xml:space="preserve">, um Sistema de Apoio à Decisão (SAD) que automatiza uma decisão organizacional recorrente e de alto impacto: </w:t>
      </w:r>
      <w:r>
        <w:rPr>
          <w:b/>
          <w:bCs/>
        </w:rPr>
        <w:t xml:space="preserve">quanto produzir de cada produto a cada semana</w:t>
      </w:r>
      <w:r>
        <w:t xml:space="preserve">, em uma agroindústria de médio porte sujeita a demanda incerta e recursos limitados. A solução encadeia quatro técnicas — previsão por </w:t>
      </w:r>
      <w:r>
        <w:t xml:space="preserve">Machine Learning</w:t>
      </w:r>
      <w:r>
        <w:t xml:space="preserve">, simulação de incerteza com </w:t>
      </w:r>
      <w:r>
        <w:t xml:space="preserve">Monte Carlo e Cadeias de Markov</w:t>
      </w:r>
      <w:r>
        <w:t xml:space="preserve">, otimização por </w:t>
      </w:r>
      <w:r>
        <w:t xml:space="preserve">Programação Linear (Simplex)</w:t>
      </w:r>
      <w:r>
        <w:t xml:space="preserve"> e uma camada de explicabilidade (XAI) — entregando ao gestor não apenas uma recomendação, mas a </w:t>
      </w:r>
      <w:r>
        <w:rPr>
          <w:b/>
          <w:bCs/>
        </w:rPr>
        <w:t xml:space="preserve">justificativa</w:t>
      </w:r>
      <w:r>
        <w:t xml:space="preserve"> por trás dela.</w:t>
      </w:r>
    </w:p>
    <w:p>
      <w:pPr>
        <w:spacing w:after="120" w:line="276"/>
        <w:jc w:val="both"/>
      </w:pPr>
      <w:r>
        <w:t xml:space="preserve">No cenário-base, o sistema recomenda um plano com lucro semanal ótimo de </w:t>
      </w:r>
      <w:r>
        <w:rPr>
          <w:b/>
          <w:bCs/>
        </w:rPr>
        <w:t xml:space="preserve">R$ 18.295,64</w:t>
      </w:r>
      <w:r>
        <w:t xml:space="preserve">, identificando o </w:t>
      </w:r>
      <w:r>
        <w:rPr>
          <w:b/>
          <w:bCs/>
        </w:rPr>
        <w:t xml:space="preserve">orçamento de produção como principal gargalo</w:t>
      </w:r>
      <w:r>
        <w:t xml:space="preserve"> (preço-sombra de R$ 1,23 por real adicional). A análise de risco por Monte Carlo indica lucro médio esperado de R$ 17.271,96, com piso de R$ 14.678,60 nos 5% de cenários mais adversos.</w:t>
      </w:r>
    </w:p>
    <w:p>
      <w:pPr>
        <w:pStyle w:val="Heading1"/>
      </w:pPr>
      <w:r>
        <w:t xml:space="preserve">1. Contextualização e Diagnóstico</w:t>
      </w:r>
    </w:p>
    <w:p>
      <w:pPr>
        <w:pStyle w:val="Heading2"/>
      </w:pPr>
      <w:r>
        <w:t xml:space="preserve">1.1 Descrição e classificação do problema</w:t>
      </w:r>
    </w:p>
    <w:p>
      <w:pPr>
        <w:spacing w:after="120" w:line="276"/>
        <w:jc w:val="both"/>
      </w:pPr>
      <w:r>
        <w:t xml:space="preserve">A </w:t>
      </w:r>
      <w:r>
        <w:rPr>
          <w:b/>
          <w:bCs/>
        </w:rPr>
        <w:t xml:space="preserve">AgroVale Alimentos</w:t>
      </w:r>
      <w:r>
        <w:t xml:space="preserve"> (empresa fictícia que representa o perfil de cooperativas agroindustriais da região do Alto Uruguai) produz cinco linhas de produtos a partir de uma mesma estrutura fabril compartilhada. Toda semana, a gestão precisa decidir o </w:t>
      </w:r>
      <w:r>
        <w:rPr>
          <w:b/>
          <w:bCs/>
        </w:rPr>
        <w:t xml:space="preserve">mix de produção</w:t>
      </w:r>
      <w:r>
        <w:t xml:space="preserve"> — quanto fabricar de cada item — diante de uma demanda que oscila e de recursos finitos (horas de máquina, matéria-prima e capital de giro).</w:t>
      </w:r>
    </w:p>
    <w:p>
      <w:pPr>
        <w:spacing w:after="120" w:line="276"/>
        <w:jc w:val="both"/>
      </w:pPr>
      <w:r>
        <w:t xml:space="preserve">Hoje, essa decisão é tomada de forma intuitiva, com apoio de planilhas. O resultado é um ciclo de erros custosos: ora há </w:t>
      </w:r>
      <w:r>
        <w:rPr>
          <w:b/>
          <w:bCs/>
        </w:rPr>
        <w:t xml:space="preserve">superprodução</w:t>
      </w:r>
      <w:r>
        <w:t xml:space="preserve"> (gerando perdas e custo de estocagem de produtos perecíveis), ora há </w:t>
      </w:r>
      <w:r>
        <w:rPr>
          <w:b/>
          <w:bCs/>
        </w:rPr>
        <w:t xml:space="preserve">ruptura</w:t>
      </w:r>
      <w:r>
        <w:t xml:space="preserve"> (venda perdida e insatisfação do cliente).</w:t>
      </w:r>
    </w:p>
    <w:p>
      <w:pPr>
        <w:spacing w:after="120" w:line="276"/>
        <w:jc w:val="both"/>
      </w:pPr>
      <w:r>
        <w:t xml:space="preserve">Segundo a tipologia de Shimizu, trata-se de um problema </w:t>
      </w:r>
      <w:r>
        <w:rPr>
          <w:b/>
          <w:bCs/>
        </w:rPr>
        <w:t xml:space="preserve">semiestruturado</w:t>
      </w:r>
      <w:r>
        <w:t xml:space="preserve">: parte dele é estruturável (as restrições de capacidade e a função de lucro podem ser modeladas matematicamente), mas a </w:t>
      </w:r>
      <w:r>
        <w:t xml:space="preserve">demanda futura é incerta</w:t>
      </w:r>
      <w:r>
        <w:t xml:space="preserve"> e o julgamento gerencial sobre prioridades (atender cliente estratégico, evitar perecíveis) introduz elementos não plenamente formalizáveis. É exatamente a faixa em que um SAD agrega mais valor — apoiando, sem substituir, o decisor.</w:t>
      </w:r>
    </w:p>
    <w:p>
      <w:pPr>
        <w:pStyle w:val="Heading2"/>
      </w:pPr>
      <w:r>
        <w:t xml:space="preserve">1.2 Stakeholders e objetivos conflitantes</w:t>
      </w:r>
    </w:p>
    <w:p>
      <w:pPr>
        <w:spacing w:after="120" w:line="276"/>
        <w:jc w:val="both"/>
      </w:pPr>
      <w:r>
        <w:t xml:space="preserve">Os principais interessados na decisão possuem objetivos que competem entre si: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Produção: </w:t>
      </w:r>
      <w:r>
        <w:t xml:space="preserve">busca estabilidade e ocupação eficiente das máquinas.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Vendas/Comercial: </w:t>
      </w:r>
      <w:r>
        <w:t xml:space="preserve">quer estoque alto para nunca perder venda (nível de serviço).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Financeiro: </w:t>
      </w:r>
      <w:r>
        <w:t xml:space="preserve">quer minimizar capital imobilizado em estoque e custo de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Direção: </w:t>
      </w:r>
      <w:r>
        <w:t xml:space="preserve">quer maximizar o lucro respeitando a capacidade instalada.</w:t>
      </w:r>
    </w:p>
    <w:p>
      <w:pPr>
        <w:spacing w:after="120" w:line="276"/>
        <w:jc w:val="both"/>
      </w:pPr>
      <w:r>
        <w:t xml:space="preserve">O conflito central é o </w:t>
      </w:r>
      <w:r>
        <w:rPr>
          <w:b/>
          <w:bCs/>
        </w:rPr>
        <w:t xml:space="preserve">trade-off entre nível de serviço e custo</w:t>
      </w:r>
      <w:r>
        <w:t xml:space="preserve">: estoque alto protege a venda mas imobiliza capital e arrisca perdas; estoque baixo reduz custo mas eleva o risco de ruptura. O SAD torna esse trade-off explícito e quantificável.</w:t>
      </w:r>
    </w:p>
    <w:p>
      <w:pPr>
        <w:pStyle w:val="Heading1"/>
      </w:pPr>
      <w:r>
        <w:t xml:space="preserve">2. Modelagem do Processo Decisório</w:t>
      </w:r>
    </w:p>
    <w:p>
      <w:pPr>
        <w:pStyle w:val="Heading2"/>
      </w:pPr>
      <w:r>
        <w:t xml:space="preserve">2.1 Variáveis consideradas</w:t>
      </w:r>
    </w:p>
    <w:p>
      <w:pPr>
        <w:spacing w:after="120" w:line="276"/>
        <w:jc w:val="both"/>
      </w:pPr>
      <w:r>
        <w:t xml:space="preserve">As </w:t>
      </w:r>
      <w:r>
        <w:rPr>
          <w:b/>
          <w:bCs/>
        </w:rPr>
        <w:t xml:space="preserve">variáveis de decisão</w:t>
      </w:r>
      <w:r>
        <w:t xml:space="preserve"> são as quantidades a produzir de cada um dos cinco produtos na próxima semana. Os parâmetros de cada produto e as restrições da fábrica compõem o modelo: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400"/>
        <w:gridCol w:w="1500"/>
        <w:gridCol w:w="1200"/>
        <w:gridCol w:w="12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Produto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Margem (R$/un)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Horas-máq/un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Mat.-prima (kg/un)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Custo (R$/un)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Demanda-base (un)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Suco Integral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4,50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0,020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3,00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1.200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Polpa Congelada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3,20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0,015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2,10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900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Geleia Artesanal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6,80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0,040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4,50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Doce em Barra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5,10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0,030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3,60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650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Néctar Light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2,90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0,012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1,80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1.100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Restrições semanais (capacidades):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Horas de máquina disponíveis: 90 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Matéria-prima disponível: 4.000 kg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Orçamento de produção (capital de giro): R$ 12.000</w:t>
      </w:r>
    </w:p>
    <w:p>
      <w:pPr>
        <w:pStyle w:val="Heading2"/>
      </w:pPr>
      <w:r>
        <w:t xml:space="preserve">2.2 Tratamento da incerteza</w:t>
      </w:r>
    </w:p>
    <w:p>
      <w:pPr>
        <w:spacing w:after="120" w:line="276"/>
        <w:jc w:val="both"/>
      </w:pPr>
      <w:r>
        <w:t xml:space="preserve">A incerteza de demanda é tratada em duas camadas complementares. Primeiro, o modelo de </w:t>
      </w:r>
      <w:r>
        <w:rPr>
          <w:b/>
          <w:bCs/>
        </w:rPr>
        <w:t xml:space="preserve">Machine Learning</w:t>
      </w:r>
      <w:r>
        <w:t xml:space="preserve"> estima, além da demanda esperada, o </w:t>
      </w:r>
      <w:r>
        <w:rPr>
          <w:b/>
          <w:bCs/>
        </w:rPr>
        <w:t xml:space="preserve">desvio-padrão dos resíduos</w:t>
      </w:r>
      <w:r>
        <w:t xml:space="preserve">, que mede o erro típico da previsão. Segundo, uma </w:t>
      </w:r>
      <w:r>
        <w:rPr>
          <w:b/>
          <w:bCs/>
        </w:rPr>
        <w:t xml:space="preserve">Cadeia de Markov</w:t>
      </w:r>
      <w:r>
        <w:t xml:space="preserve"> modela o regime de mercado em três estados — baixa, normal e alta demanda — com uma matriz de transição entre eles. A distribuição estacionária dessa cadeia informa a probabilidade de longo prazo de cada regime.</w:t>
      </w:r>
    </w:p>
    <w:p>
      <w:pPr>
        <w:spacing w:after="120" w:line="276"/>
        <w:jc w:val="both"/>
      </w:pPr>
      <w:r>
        <w:t xml:space="preserve">A </w:t>
      </w:r>
      <w:r>
        <w:rPr>
          <w:b/>
          <w:bCs/>
        </w:rPr>
        <w:t xml:space="preserve">simulação de Monte Carlo</w:t>
      </w:r>
      <w:r>
        <w:t xml:space="preserve"> combina as duas fontes: para cada um dos 2.000 cenários, sorteia-se um regime (via Markov) e soma-se o ruído do modelo de ML, gerando uma distribuição completa de demanda por produto. Essa abordagem operacionaliza a distinção da disciplina entre </w:t>
      </w:r>
      <w:r>
        <w:rPr>
          <w:b/>
          <w:bCs/>
        </w:rPr>
        <w:t xml:space="preserve">risco</w:t>
      </w:r>
      <w:r>
        <w:t xml:space="preserve"> (probabilidades conhecidas, capturadas pela matriz de Markov) e </w:t>
      </w:r>
      <w:r>
        <w:rPr>
          <w:b/>
          <w:bCs/>
        </w:rPr>
        <w:t xml:space="preserve">incerteza</w:t>
      </w:r>
      <w:r>
        <w:t xml:space="preserve"> (a variabilidade residual da previsão).</w:t>
      </w:r>
    </w:p>
    <w:p>
      <w:pPr>
        <w:pStyle w:val="Heading1"/>
      </w:pPr>
      <w:r>
        <w:t xml:space="preserve">3. Proposta de Solução com IA</w:t>
      </w:r>
    </w:p>
    <w:p>
      <w:pPr>
        <w:pStyle w:val="Heading2"/>
      </w:pPr>
      <w:r>
        <w:t xml:space="preserve">3.1 Justificativa da técnica (por que IA, e não método puramente estatístico ou heurístico?)</w:t>
      </w:r>
    </w:p>
    <w:p>
      <w:pPr>
        <w:spacing w:after="120" w:line="276"/>
        <w:jc w:val="both"/>
      </w:pPr>
      <w:r>
        <w:t xml:space="preserve">Um modelo </w:t>
      </w:r>
      <w:r>
        <w:rPr>
          <w:b/>
          <w:bCs/>
        </w:rPr>
        <w:t xml:space="preserve">puramente estatístico</w:t>
      </w:r>
      <w:r>
        <w:t xml:space="preserve"> (ex.: uma regressão de demanda) </w:t>
      </w:r>
      <w:r>
        <w:rPr>
          <w:b/>
          <w:bCs/>
        </w:rPr>
        <w:t xml:space="preserve">prevê, mas não decide</w:t>
      </w:r>
      <w:r>
        <w:t xml:space="preserve">: ele não considera as restrições de capacidade nem as margens, e portanto não produz um plano de produção acionável. Uma </w:t>
      </w:r>
      <w:r>
        <w:rPr>
          <w:b/>
          <w:bCs/>
        </w:rPr>
        <w:t xml:space="preserve">heurística simples</w:t>
      </w:r>
      <w:r>
        <w:t xml:space="preserve"> (ex.: “produza a média histórica”) ignora tanto as restrições quanto a incerteza, levando justamente aos erros de superprodução e ruptura que se quer evitar.</w:t>
      </w:r>
    </w:p>
    <w:p>
      <w:pPr>
        <w:spacing w:after="120" w:line="276"/>
        <w:jc w:val="both"/>
      </w:pPr>
      <w:r>
        <w:t xml:space="preserve">A solução com IA agrega valor precisamente na </w:t>
      </w:r>
      <w:r>
        <w:rPr>
          <w:b/>
          <w:bCs/>
        </w:rPr>
        <w:t xml:space="preserve">integração</w:t>
      </w:r>
      <w:r>
        <w:t xml:space="preserve">: o ML transforma o histórico em previsão probabilística; o Monte Carlo+Markov converte a previsão em cenários de risco; e a otimização (Simplex) converte os cenários em uma </w:t>
      </w:r>
      <w:r>
        <w:rPr>
          <w:b/>
          <w:bCs/>
        </w:rPr>
        <w:t xml:space="preserve">decisão ótima e factível</w:t>
      </w:r>
      <w:r>
        <w:t xml:space="preserve">, que respeita todas as restrições e maximiza o lucro. Nenhuma das técnicas isoladamente entrega esse resultado — é a orquestração que constitui o Sistema de Apoio à Decisão.</w:t>
      </w:r>
    </w:p>
    <w:p>
      <w:pPr>
        <w:pStyle w:val="Heading2"/>
      </w:pPr>
      <w:r>
        <w:t xml:space="preserve">3.2 Arquitetura da solução</w:t>
      </w:r>
    </w:p>
    <w:p>
      <w:pPr>
        <w:spacing w:after="120" w:line="276"/>
        <w:jc w:val="both"/>
      </w:pPr>
      <w:r>
        <w:t xml:space="preserve">A arquitetura segue a estrutura clássica de SAD descrita por Shimizu, com três subsistemas — dados, modelos e interface — organizados em um pipeline sequencial: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Subsistema de Dados: </w:t>
      </w:r>
      <w:r>
        <w:t xml:space="preserve">histórico de vendas (sintético) e tabela de parâmetros de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Subsistema de Modelos: </w:t>
      </w:r>
      <w:r>
        <w:t xml:space="preserve">previsão (ML) → simulação (Monte Carlo + Markov) → otimização (Simplex) → explicação (XAI).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Subsistema de Interface: </w:t>
      </w:r>
      <w:r>
        <w:t xml:space="preserve">dashboard executivo (Streamlit) para consulta e simulação de cenários what-if.</w:t>
      </w:r>
    </w:p>
    <w:p>
      <w:pPr>
        <w:spacing w:after="120" w:line="276"/>
        <w:jc w:val="both"/>
      </w:pPr>
      <w:r>
        <w:rPr>
          <w:b/>
          <w:bCs/>
        </w:rPr>
        <w:t xml:space="preserve">Fluxo: </w:t>
      </w:r>
      <w:r>
        <w:t xml:space="preserve">Dados → Previsão de demanda (ML) → Cenários de incerteza (Monte Carlo + Markov) → Decisão ótima (Simplex) → Explicação executiva (XAI) → Dashboard.</w:t>
      </w:r>
    </w:p>
    <w:p>
      <w:pPr>
        <w:spacing w:after="120" w:line="276"/>
        <w:jc w:val="both"/>
      </w:pPr>
      <w:r>
        <w:t xml:space="preserve">Implementação em </w:t>
      </w:r>
      <w:r>
        <w:rPr>
          <w:b/>
          <w:bCs/>
        </w:rPr>
        <w:t xml:space="preserve">Python</w:t>
      </w:r>
      <w:r>
        <w:t xml:space="preserve">: scikit-learn (RandomForest), NumPy (Monte Carlo e álgebra de Markov), PuLP/CBC (Simplex), SHAP e a API da Anthropic (Claude) para a explicação em linguagem natural, e Streamlit para a interface.</w:t>
      </w:r>
    </w:p>
    <w:p>
      <w:pPr>
        <w:pStyle w:val="Heading1"/>
      </w:pPr>
      <w:r>
        <w:t xml:space="preserve">4. Implementação e Resultados</w:t>
      </w:r>
    </w:p>
    <w:p>
      <w:pPr>
        <w:pStyle w:val="Heading2"/>
      </w:pPr>
      <w:r>
        <w:t xml:space="preserve">4.1 Dados utilizados</w:t>
      </w:r>
    </w:p>
    <w:p>
      <w:pPr>
        <w:spacing w:after="120" w:line="276"/>
        <w:jc w:val="both"/>
      </w:pPr>
      <w:r>
        <w:t xml:space="preserve">Foram usados </w:t>
      </w:r>
      <w:r>
        <w:rPr>
          <w:b/>
          <w:bCs/>
        </w:rPr>
        <w:t xml:space="preserve">dados sintéticos reprodutíveis</w:t>
      </w:r>
      <w:r>
        <w:t xml:space="preserve"> (semente fixa), gerando aproximadamente três anos (156 semanas) de vendas semanais para os cinco produtos. Cada série combina nível-base, tendência linear, sazonalidade anual (52 semanas) e ruído aleatório de ~10%, reproduzindo padrões realistas de demanda sem expor dados sensíveis de uma empresa real.</w:t>
      </w:r>
    </w:p>
    <w:p>
      <w:pPr>
        <w:pStyle w:val="Heading2"/>
      </w:pPr>
      <w:r>
        <w:t xml:space="preserve">4.2 Resultados — plano recomendado e análise de risco</w:t>
      </w:r>
    </w:p>
    <w:p>
      <w:pPr>
        <w:spacing w:after="120" w:line="276"/>
        <w:jc w:val="both"/>
      </w:pPr>
      <w:r>
        <w:t xml:space="preserve">Otimizando sobre a demanda esperada, o sistema retornou solução </w:t>
      </w:r>
      <w:r>
        <w:rPr>
          <w:b/>
          <w:bCs/>
        </w:rPr>
        <w:t xml:space="preserve">ótima</w:t>
      </w:r>
      <w:r>
        <w:t xml:space="preserve"> com lucro de </w:t>
      </w:r>
      <w:r>
        <w:rPr>
          <w:b/>
          <w:bCs/>
        </w:rPr>
        <w:t xml:space="preserve">R$ 18.295,64</w:t>
      </w:r>
      <w:r>
        <w:t xml:space="preserve"> e o seguinte plano: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Produto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Unidades recomendadas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Suco Integral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1.368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Polpa Congelada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1.023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Geleia Artesanal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852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Doce em Barra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Néctar Light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1.033</w:t>
            </w:r>
          </w:p>
        </w:tc>
      </w:tr>
    </w:tbl>
    <w:p>
      <w:pPr>
        <w:spacing w:after="120" w:line="276"/>
        <w:jc w:val="both"/>
      </w:pPr>
      <w:r>
        <w:t xml:space="preserve">Destaca-se que o </w:t>
      </w:r>
      <w:r>
        <w:rPr>
          <w:b/>
          <w:bCs/>
        </w:rPr>
        <w:t xml:space="preserve">Doce em Barra</w:t>
      </w:r>
      <w:r>
        <w:t xml:space="preserve"> quase não é produzido: apesar de boa margem, seu consumo de horas de máquina e matéria-prima o torna pouco competitivo frente aos demais quando os recursos são escassos — um insight não óbvio que a otimização revela.</w:t>
      </w:r>
    </w:p>
    <w:p>
      <w:pPr>
        <w:spacing w:after="120" w:line="276"/>
        <w:jc w:val="both"/>
      </w:pPr>
      <w:r>
        <w:t xml:space="preserve">A simulação de Monte Carlo (2.000 cenários) avalia o </w:t>
      </w:r>
      <w:r>
        <w:rPr>
          <w:b/>
          <w:bCs/>
        </w:rPr>
        <w:t xml:space="preserve">risco</w:t>
      </w:r>
      <w:r>
        <w:t xml:space="preserve"> desse plano: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Métrica de lucro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 (R$)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Lucro esperado (demanda média)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18.295,64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Lucro médio simulado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17.271,96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Pior caso (percentil 5%)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14.678,60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Melhor caso (percentil 95%)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18.296,03</w:t>
            </w:r>
          </w:p>
        </w:tc>
      </w:tr>
    </w:tbl>
    <w:p>
      <w:pPr>
        <w:spacing w:after="120" w:line="276"/>
        <w:jc w:val="both"/>
      </w:pPr>
      <w:r>
        <w:t xml:space="preserve">O lucro médio simulado fica abaixo do ótimo determinístico porque, em parte dos cenários, a demanda real cai abaixo do planejado, deixando produção sem venda. Ainda assim, mesmo no </w:t>
      </w:r>
      <w:r>
        <w:rPr>
          <w:b/>
          <w:bCs/>
        </w:rPr>
        <w:t xml:space="preserve">pior caso (p5)</w:t>
      </w:r>
      <w:r>
        <w:t xml:space="preserve">, o lucro permanece em R$ 14.678,60 — evidência de que o plano é </w:t>
      </w:r>
      <w:r>
        <w:rPr>
          <w:b/>
          <w:bCs/>
        </w:rPr>
        <w:t xml:space="preserve">robusto</w:t>
      </w:r>
      <w:r>
        <w:t xml:space="preserve">.</w:t>
      </w:r>
    </w:p>
    <w:p>
      <w:pPr>
        <w:pStyle w:val="Heading2"/>
      </w:pPr>
      <w:r>
        <w:t xml:space="preserve">4.3 Análise de sensibilidade</w:t>
      </w:r>
    </w:p>
    <w:p>
      <w:pPr>
        <w:spacing w:after="120" w:line="276"/>
        <w:jc w:val="both"/>
      </w:pPr>
      <w:r>
        <w:t xml:space="preserve">A leitura dos </w:t>
      </w:r>
      <w:r>
        <w:rPr>
          <w:b/>
          <w:bCs/>
        </w:rPr>
        <w:t xml:space="preserve">preços-sombra</w:t>
      </w:r>
      <w:r>
        <w:t xml:space="preserve"> do Simplex revela quais recursos limitam o lucro: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26"/>
        <w:gridCol w:w="2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Recurso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Usado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Disponível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Preço-sombra (R$)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Horas de máquina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89,6 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90,0 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0,00 (há folga)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Matéria-prima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4.000 kg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4.000 kg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0,68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Orçamento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R$ 12.000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R$ 12.000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1,23</w:t>
            </w:r>
          </w:p>
        </w:tc>
      </w:tr>
    </w:tbl>
    <w:p>
      <w:pPr>
        <w:spacing w:after="120" w:line="276"/>
        <w:jc w:val="both"/>
      </w:pPr>
      <w:r>
        <w:t xml:space="preserve">O </w:t>
      </w:r>
      <w:r>
        <w:rPr>
          <w:b/>
          <w:bCs/>
        </w:rPr>
        <w:t xml:space="preserve">orçamento é o gargalo dominante</w:t>
      </w:r>
      <w:r>
        <w:t xml:space="preserve"> (cada R$ 1 adicional gera R$ 1,23 de lucro), seguido da matéria-prima (R$ 0,68). As horas de máquina sobram, logo investir em mais capacidade de máquina não traria retorno. Variando o orçamento: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Variação do orçamento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Orçamento (R$)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Lucro ótimo (R$)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−20%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9.600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14.700,24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−10%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10.800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16.500,24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12.000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18.295,64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+10%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13.200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18.378,94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+20%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14.400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18.378,94</w:t>
            </w:r>
          </w:p>
        </w:tc>
      </w:tr>
    </w:tbl>
    <w:p>
      <w:pPr>
        <w:spacing w:after="120" w:line="276"/>
        <w:jc w:val="both"/>
      </w:pPr>
      <w:r>
        <w:t xml:space="preserve">O resultado mostra um efeito de </w:t>
      </w:r>
      <w:r>
        <w:rPr>
          <w:b/>
          <w:bCs/>
        </w:rPr>
        <w:t xml:space="preserve">retornos decrescentes</w:t>
      </w:r>
      <w:r>
        <w:t xml:space="preserve">: aumentar o orçamento eleva o lucro até cerca de +10%, ponto em que outro recurso (a matéria-prima) passa a restringir, e o lucro estabiliza em R$ 18.378,94. Esse tipo de leitura orienta diretamente onde a empresa deve investir.</w:t>
      </w:r>
    </w:p>
    <w:p>
      <w:pPr>
        <w:pStyle w:val="Heading2"/>
      </w:pPr>
      <w:r>
        <w:t xml:space="preserve">4.4 Explicabilidade (XAI)</w:t>
      </w:r>
    </w:p>
    <w:p>
      <w:pPr>
        <w:spacing w:after="120" w:line="276"/>
        <w:jc w:val="both"/>
      </w:pPr>
      <w:r>
        <w:t xml:space="preserve">Atendendo à recomendação de Shimizu de que um gestor não aceita uma decisão de “caixa preta”, a solução justifica a recomendação em três níveis: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Preços-sombra (Simplex): </w:t>
      </w:r>
      <w:r>
        <w:t xml:space="preserve">explicam por que o plano é ótimo e onde está o gargalo — explicabilidade nativa da Pesquisa Operacional.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Importância de variáveis (SHAP): </w:t>
      </w:r>
      <w:r>
        <w:t xml:space="preserve">explica o que dirige a previsão de demanda (sazonalidade, tendência, vendas recentes).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Linguagem natural (LLM): </w:t>
      </w:r>
      <w:r>
        <w:t xml:space="preserve">o modelo Claude traduz os números em um parágrafo executivo em português, pronto para o comitê.</w:t>
      </w:r>
    </w:p>
    <w:p>
      <w:pPr>
        <w:pStyle w:val="Heading1"/>
      </w:pPr>
      <w:r>
        <w:t xml:space="preserve">5. Conclusões e Limitações</w:t>
      </w:r>
    </w:p>
    <w:p>
      <w:pPr>
        <w:pStyle w:val="Heading2"/>
      </w:pPr>
      <w:r>
        <w:t xml:space="preserve">5.1 Valor gerado</w:t>
      </w:r>
    </w:p>
    <w:p>
      <w:pPr>
        <w:spacing w:after="120" w:line="276"/>
        <w:jc w:val="both"/>
      </w:pPr>
      <w:r>
        <w:t xml:space="preserve">O DecidAI converte uma decisão antes intuitiva em um processo </w:t>
      </w:r>
      <w:r>
        <w:rPr>
          <w:b/>
          <w:bCs/>
        </w:rPr>
        <w:t xml:space="preserve">rastreável, ótimo e explicável</w:t>
      </w:r>
      <w:r>
        <w:t xml:space="preserve">. Ele entrega: (i) um plano de produção que maximiza o lucro respeitando todas as restrições; (ii) uma medida explícita de risco; (iii) a identificação do gargalo que mais limita o resultado; e (iv) uma justificativa em linguagem de negócio. Em síntese, transforma dados em </w:t>
      </w:r>
      <w:r>
        <w:rPr>
          <w:b/>
          <w:bCs/>
        </w:rPr>
        <w:t xml:space="preserve">decisão defensável</w:t>
      </w:r>
      <w:r>
        <w:t xml:space="preserve"> — que é o objetivo central de um SAD.</w:t>
      </w:r>
    </w:p>
    <w:p>
      <w:pPr>
        <w:pStyle w:val="Heading2"/>
      </w:pPr>
      <w:r>
        <w:t xml:space="preserve">5.2 Limitações éticas, técnicas e de contexto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Dados sintéticos: </w:t>
      </w:r>
      <w:r>
        <w:t xml:space="preserve">a prova de conceito usa dados gerados; choques reais de mercado (clima, preço de insumos) não estão representados.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Viés do histórico: </w:t>
      </w:r>
      <w:r>
        <w:t xml:space="preserve">o modelo de ML reproduz padrões do passado; se o histórico contém vieses (ex.: campanhas pontuais), eles se propagam à previsão.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Linearidade do Simplex: </w:t>
      </w:r>
      <w:r>
        <w:t xml:space="preserve">o modelo assume custos e consumos lineares, ignorando ganhos de escala e custos fixos de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Decisão sobre valor esperado: </w:t>
      </w:r>
      <w:r>
        <w:t xml:space="preserve">a otimização usa a demanda média; uma extensão natural é a programação estocástica de dois estágios, que decide considerando todos os cenários simultaneamente.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Fator humano (Shimizu): </w:t>
      </w:r>
      <w:r>
        <w:t xml:space="preserve">a decisão é também política e organizacional; o sistema apoia, mas a palavra final permanece com o gestor.</w:t>
      </w:r>
    </w:p>
    <w:p>
      <w:pPr>
        <w:pStyle w:val="Heading2"/>
      </w:pPr>
      <w:r>
        <w:t xml:space="preserve">5.3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Substituir o RandomForest por modelos de série temporal mais ricos e validar com dados reais.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Incluir a alocação a clientes/centros de distribuição no modelo de otimização.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Migrar para programação estocástica de dois estágios para decidir sob incerteza explícita.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Integrar o SAD ao ERP da empresa para execução automática semanal.</w:t>
      </w:r>
    </w:p>
    <w:p>
      <w:pPr>
        <w:pStyle w:val="Heading1"/>
      </w:pPr>
      <w:r>
        <w:t xml:space="preserve">6. Divisão de Tarefas</w:t>
      </w:r>
    </w:p>
    <w:p>
      <w:pPr>
        <w:spacing w:after="120" w:line="276"/>
        <w:jc w:val="both"/>
      </w:pPr>
      <w:r>
        <w:t xml:space="preserve">O desenvolvimento foi organizado por camadas da arquitetura: cada integrante respondeu por um eixo técnico do pipeline, com integração contínua entre as partes.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Integrante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Responsabilidades principais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Artefatos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Daniel Dewes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Camada de dados e previsão (ML); orquestração do pipeline ponta a ponta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data_gen.py, forecast.py, pipeline.py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Cesario Stoquero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Tratamento da incerteza (Monte Carlo + Markov) e otimização (Simplex); análise de sensibilidade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simulation.py, optimization.py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Samuel Maciel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Explicabilidade (XAI) e interface executiva (dashboard Streamlit)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xai.py, app/dashboard.py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Guilherme Capeletti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Modelagem dos parâmetros de negócio, testes de validação do pipeline e produção dos entregáveis (relatório e apresentação)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config.py, tests/test_smoke.py, entregaveis/</w:t>
            </w:r>
          </w:p>
        </w:tc>
      </w:tr>
    </w:tbl>
    <w:p>
      <w:pPr>
        <w:spacing w:after="120" w:line="276"/>
        <w:jc w:val="both"/>
      </w:pPr>
      <w:r>
        <w:t xml:space="preserve">A </w:t>
      </w:r>
      <w:r>
        <w:rPr>
          <w:b/>
          <w:bCs/>
        </w:rPr>
        <w:t xml:space="preserve">redação do relatório</w:t>
      </w:r>
      <w:r>
        <w:t xml:space="preserve">, a </w:t>
      </w:r>
      <w:r>
        <w:rPr>
          <w:b/>
          <w:bCs/>
        </w:rPr>
        <w:t xml:space="preserve">preparação da apresentação</w:t>
      </w:r>
      <w:r>
        <w:t xml:space="preserve"> e a </w:t>
      </w:r>
      <w:r>
        <w:rPr>
          <w:b/>
          <w:bCs/>
        </w:rPr>
        <w:t xml:space="preserve">revisão dos resultados</w:t>
      </w:r>
      <w:r>
        <w:t xml:space="preserve"> foram conduzidas em conjunto pelos quatro integrantes.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DecidAI — </w:t>
    </w:r>
    <w: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Grupo DecidAI</dc:creator>
  <cp:lastModifiedBy>Un-named</cp:lastModifiedBy>
  <cp:revision>1</cp:revision>
  <dcterms:created xsi:type="dcterms:W3CDTF">2026-06-25T17:49:41.539Z</dcterms:created>
  <dcterms:modified xsi:type="dcterms:W3CDTF">2026-06-25T17:49:41.540Z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