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AF22" w14:textId="77777777" w:rsidR="003814AD" w:rsidRPr="003814AD" w:rsidRDefault="003814AD" w:rsidP="001B395B">
      <w:pPr>
        <w:jc w:val="both"/>
        <w:rPr>
          <w:b/>
          <w:bCs/>
        </w:rPr>
      </w:pPr>
      <w:r w:rsidRPr="003814AD">
        <w:rPr>
          <w:b/>
          <w:bCs/>
        </w:rPr>
        <w:t>REPORTE DE LABORATORIO: MÉTODO CAE</w:t>
      </w:r>
    </w:p>
    <w:p w14:paraId="5FB5B5AB" w14:textId="2DB7D1ED" w:rsidR="003814AD" w:rsidRDefault="003814AD" w:rsidP="001B395B">
      <w:pPr>
        <w:jc w:val="both"/>
      </w:pPr>
      <w:r w:rsidRPr="003814AD">
        <w:rPr>
          <w:b/>
          <w:bCs/>
        </w:rPr>
        <w:t xml:space="preserve">Curso: </w:t>
      </w:r>
      <w:r>
        <w:t xml:space="preserve">Electricidad y Magnetismo Universitario </w:t>
      </w:r>
      <w:r w:rsidRPr="003814AD">
        <w:rPr>
          <w:b/>
          <w:bCs/>
        </w:rPr>
        <w:t>Profesor:</w:t>
      </w:r>
      <w:r>
        <w:t xml:space="preserve"> [Ing. Silverio Michael Menchú Tzoc]</w:t>
      </w:r>
    </w:p>
    <w:p w14:paraId="6BB30F97" w14:textId="77777777" w:rsidR="003814AD" w:rsidRDefault="003814AD" w:rsidP="001B395B">
      <w:pPr>
        <w:jc w:val="both"/>
      </w:pPr>
      <w:r w:rsidRPr="003814AD">
        <w:rPr>
          <w:b/>
          <w:bCs/>
        </w:rPr>
        <w:t>PROYECTO:</w:t>
      </w:r>
      <w:r>
        <w:t xml:space="preserve"> El Electroscopio de </w:t>
      </w:r>
      <w:proofErr w:type="gramStart"/>
      <w:r>
        <w:t xml:space="preserve">Precisión  </w:t>
      </w:r>
      <w:r w:rsidRPr="003814AD">
        <w:rPr>
          <w:b/>
          <w:bCs/>
        </w:rPr>
        <w:t>FECHA</w:t>
      </w:r>
      <w:proofErr w:type="gramEnd"/>
      <w:r w:rsidRPr="003814AD">
        <w:rPr>
          <w:b/>
          <w:bCs/>
        </w:rPr>
        <w:t>:</w:t>
      </w:r>
      <w:r>
        <w:t xml:space="preserve"> 11 / 02 / 2026 </w:t>
      </w:r>
    </w:p>
    <w:p w14:paraId="0A47892D" w14:textId="7FE768F9" w:rsidR="003814AD" w:rsidRDefault="003814AD" w:rsidP="001B395B">
      <w:pPr>
        <w:jc w:val="both"/>
      </w:pPr>
      <w:r>
        <w:t>INTEGRANTES:</w:t>
      </w:r>
    </w:p>
    <w:p w14:paraId="756626C9" w14:textId="1B6C9C05" w:rsidR="003814AD" w:rsidRDefault="003814AD" w:rsidP="001B395B">
      <w:pPr>
        <w:jc w:val="both"/>
      </w:pPr>
      <w:r>
        <w:t xml:space="preserve">1.  </w:t>
      </w:r>
      <w:r w:rsidRPr="003814AD">
        <w:t>Cotí Arredondo, Pablo Andrés (1653221</w:t>
      </w:r>
      <w:r>
        <w:t>)</w:t>
      </w:r>
    </w:p>
    <w:p w14:paraId="6AEAE9FF" w14:textId="68BD21AE" w:rsidR="003814AD" w:rsidRDefault="003814AD" w:rsidP="001B395B">
      <w:pPr>
        <w:jc w:val="both"/>
      </w:pPr>
      <w:r>
        <w:t xml:space="preserve">2.  </w:t>
      </w:r>
      <w:r w:rsidRPr="003814AD">
        <w:t>Coy Agustín, Leslie Mireya (1681121)</w:t>
      </w:r>
    </w:p>
    <w:p w14:paraId="511FDAF0" w14:textId="26088921" w:rsidR="003814AD" w:rsidRDefault="003814AD" w:rsidP="001B395B">
      <w:pPr>
        <w:jc w:val="both"/>
      </w:pPr>
      <w:r>
        <w:t xml:space="preserve">3. </w:t>
      </w:r>
      <w:r w:rsidRPr="003814AD">
        <w:t>Sajvin Gómez, Mario Daniel (1612921)</w:t>
      </w:r>
    </w:p>
    <w:p w14:paraId="3471F937" w14:textId="77777777" w:rsidR="003814AD" w:rsidRDefault="003814AD" w:rsidP="001B395B">
      <w:pPr>
        <w:jc w:val="both"/>
      </w:pPr>
    </w:p>
    <w:p w14:paraId="5C742641" w14:textId="15FD69F7" w:rsidR="003814AD" w:rsidRPr="003814AD" w:rsidRDefault="003814AD" w:rsidP="001B395B">
      <w:pPr>
        <w:jc w:val="both"/>
        <w:rPr>
          <w:b/>
          <w:bCs/>
        </w:rPr>
      </w:pPr>
      <w:r w:rsidRPr="003814AD">
        <w:rPr>
          <w:b/>
          <w:bCs/>
        </w:rPr>
        <w:t xml:space="preserve">I. DIMENSIÓN CONCEPTUAL </w:t>
      </w:r>
    </w:p>
    <w:p w14:paraId="0244138B" w14:textId="775302B7" w:rsidR="003814AD" w:rsidRDefault="003814AD" w:rsidP="001B395B">
      <w:pPr>
        <w:jc w:val="both"/>
      </w:pPr>
      <w:r>
        <w:t xml:space="preserve">• Objetivo del desafío: </w:t>
      </w:r>
      <w:r w:rsidR="006A1076" w:rsidRPr="006A1076">
        <w:t>Construir un electroscopio dentro de un frasco de vidrio que sea capaz de distinguir no solo la presencia de carga, sino la diferencia entre materiales (frotar plástico vs. vidrio vs. globos).</w:t>
      </w:r>
    </w:p>
    <w:p w14:paraId="274013FF" w14:textId="39CD4099" w:rsidR="003814AD" w:rsidRDefault="003814AD" w:rsidP="001B395B">
      <w:pPr>
        <w:jc w:val="both"/>
      </w:pPr>
      <w:r>
        <w:t>• Fundamento Físico:</w:t>
      </w:r>
      <w:r w:rsidR="006A1076">
        <w:t xml:space="preserve"> </w:t>
      </w:r>
      <w:r w:rsidR="006A1076" w:rsidRPr="006A1076">
        <w:t>Carga por inducción y conducción.</w:t>
      </w:r>
      <w:r w:rsidR="006A1076">
        <w:t xml:space="preserve"> </w:t>
      </w:r>
    </w:p>
    <w:p w14:paraId="72AB7948" w14:textId="001FD8A9" w:rsidR="006A1076" w:rsidRDefault="006A1076" w:rsidP="001B395B">
      <w:pPr>
        <w:jc w:val="both"/>
      </w:pPr>
      <w:r w:rsidRPr="006A1076">
        <w:t>La carga por </w:t>
      </w:r>
      <w:r w:rsidRPr="006A1076">
        <w:rPr>
          <w:b/>
          <w:bCs/>
        </w:rPr>
        <w:t>conducción</w:t>
      </w:r>
      <w:r w:rsidRPr="006A1076">
        <w:t> implica el contacto físico directo entre un cuerpo cargado y uno neutro, transfiriendo electrones y resultando en cargas del mismo signo. La carga por </w:t>
      </w:r>
      <w:r w:rsidRPr="006A1076">
        <w:rPr>
          <w:b/>
          <w:bCs/>
        </w:rPr>
        <w:t>inducción</w:t>
      </w:r>
      <w:r w:rsidRPr="006A1076">
        <w:t> es la redistribución de cargas en un objeto neutro al acercarle un cuerpo cargado, sin contacto, resultando en cargas de polaridad opuesta. </w:t>
      </w:r>
    </w:p>
    <w:p w14:paraId="1DC68DF0" w14:textId="2B880296" w:rsidR="003814AD" w:rsidRDefault="003814AD" w:rsidP="001B395B">
      <w:pPr>
        <w:jc w:val="both"/>
      </w:pPr>
      <w:r>
        <w:t xml:space="preserve">• Hipótesis / Predicción: </w:t>
      </w:r>
      <w:r w:rsidR="006A1076">
        <w:t>Que las laminas de aluminio se separen o tengan movimiento.</w:t>
      </w:r>
    </w:p>
    <w:p w14:paraId="653FEC0E" w14:textId="1C516BCD" w:rsidR="003814AD" w:rsidRDefault="003814AD" w:rsidP="001B395B">
      <w:pPr>
        <w:jc w:val="both"/>
      </w:pPr>
      <w:r w:rsidRPr="001B395B">
        <w:rPr>
          <w:b/>
          <w:bCs/>
        </w:rPr>
        <w:t>II. DIMENSIÓN EXPERIMENTAL</w:t>
      </w:r>
      <w:r>
        <w:t xml:space="preserve"> </w:t>
      </w:r>
    </w:p>
    <w:p w14:paraId="48CA94A1" w14:textId="1FB4E5BC" w:rsidR="003814AD" w:rsidRDefault="003814AD" w:rsidP="001B395B">
      <w:pPr>
        <w:jc w:val="both"/>
      </w:pPr>
      <w:r>
        <w:t xml:space="preserve">• Esquema del Montaje: </w:t>
      </w:r>
    </w:p>
    <w:p w14:paraId="18C51DF4" w14:textId="6A04CE8D" w:rsidR="001B395B" w:rsidRDefault="001B395B" w:rsidP="001B395B">
      <w:pPr>
        <w:jc w:val="both"/>
      </w:pPr>
      <w:r>
        <w:t xml:space="preserve">El electroscopio esta conformado por un envase de café y específicamente de vidrio, en la parte de la tapadera esta atravesado un alambre de cobre, la cual es un material que conduce la electricidad, en la parte inferior del alambre de cobre tiene colgada dos laminas pequeñas de aluminio, en la parte inferior y la que sale del frasco tiene una bolita de aluminio, la cual servirá como receptor de la carga, la cual será conducida para llegar a las láminas. </w:t>
      </w:r>
    </w:p>
    <w:p w14:paraId="18FBD6E9" w14:textId="4E9509B5" w:rsidR="003814AD" w:rsidRDefault="003814AD" w:rsidP="001B395B">
      <w:pPr>
        <w:jc w:val="both"/>
      </w:pPr>
      <w:r>
        <w:t xml:space="preserve">• Bitácora de Ajustes: </w:t>
      </w:r>
      <w:r w:rsidR="001B395B">
        <w:t xml:space="preserve">Al principio la bola de aluminio era pequeña, por lo cual no movía suficiente las láminas. El globo no fue frotado lo suficiente al inicio, lo cual también influía a que no moviese lo suficiente las láminas. Se probo con diferentes materiales, con un paño de lana, el cual </w:t>
      </w:r>
      <w:proofErr w:type="gramStart"/>
      <w:r w:rsidR="001B395B">
        <w:t>funciono</w:t>
      </w:r>
      <w:proofErr w:type="gramEnd"/>
      <w:r w:rsidR="001B395B">
        <w:t xml:space="preserve"> pero no era tan visible. </w:t>
      </w:r>
    </w:p>
    <w:p w14:paraId="454AF7BD" w14:textId="50577DC5" w:rsidR="003814AD" w:rsidRDefault="003814AD" w:rsidP="001B395B">
      <w:pPr>
        <w:jc w:val="both"/>
      </w:pPr>
      <w:r>
        <w:t xml:space="preserve">• Registro de Datos / Observaciones: </w:t>
      </w:r>
      <w:r w:rsidR="001B395B">
        <w:t xml:space="preserve">Al acercar el globo previamente cargado la energía se transmite por conducción reflejándose en las láminas. </w:t>
      </w:r>
    </w:p>
    <w:p w14:paraId="1F74E3EF" w14:textId="640DB0D1" w:rsidR="003814AD" w:rsidRDefault="003814AD" w:rsidP="001B395B">
      <w:pPr>
        <w:jc w:val="both"/>
      </w:pPr>
      <w:r>
        <w:t xml:space="preserve">III. DIMENSIÓN ANALÍTICA </w:t>
      </w:r>
    </w:p>
    <w:p w14:paraId="5EDA4625" w14:textId="213D6BF9" w:rsidR="00E44844" w:rsidRDefault="003814AD" w:rsidP="00E44844">
      <w:pPr>
        <w:jc w:val="both"/>
      </w:pPr>
      <w:r>
        <w:t xml:space="preserve">• Cálculo / Verificación: </w:t>
      </w:r>
      <w:r w:rsidR="00E44844" w:rsidRPr="00E44844">
        <w:t>La fuerza de repulsión que separa las láminas se puede explicar conceptualmente con la Ley de Coulomb</w:t>
      </w:r>
    </w:p>
    <w:p w14:paraId="106F2B75" w14:textId="76C1D946" w:rsidR="00E44844" w:rsidRDefault="00E44844" w:rsidP="00E44844">
      <w:pPr>
        <w:jc w:val="both"/>
      </w:pPr>
      <m:oMathPara>
        <m:oMath>
          <m:r>
            <w:rPr>
              <w:rFonts w:ascii="Cambria Math" w:hAnsi="Cambria Math" w:cs="Arial"/>
              <w:szCs w:val="28"/>
            </w:rPr>
            <m:t>F=K</m:t>
          </m:r>
          <m:f>
            <m:fPr>
              <m:ctrlPr>
                <w:rPr>
                  <w:rFonts w:ascii="Cambria Math" w:hAnsi="Cambria Math" w:cs="Arial"/>
                  <w:i/>
                  <w:szCs w:val="28"/>
                </w:rPr>
              </m:ctrlPr>
            </m:fPr>
            <m:num>
              <m:r>
                <w:rPr>
                  <w:rFonts w:ascii="Cambria Math" w:hAnsi="Cambria Math" w:cs="Arial"/>
                  <w:szCs w:val="28"/>
                </w:rPr>
                <m:t>q1q2</m:t>
              </m:r>
            </m:num>
            <m:den>
              <m:sSup>
                <m:sSupPr>
                  <m:ctrlPr>
                    <w:rPr>
                      <w:rFonts w:ascii="Cambria Math" w:hAnsi="Cambria Math" w:cs="Arial"/>
                      <w:i/>
                      <w:szCs w:val="28"/>
                    </w:rPr>
                  </m:ctrlPr>
                </m:sSupPr>
                <m:e>
                  <m:r>
                    <w:rPr>
                      <w:rFonts w:ascii="Cambria Math" w:hAnsi="Cambria Math" w:cs="Arial"/>
                      <w:szCs w:val="28"/>
                    </w:rPr>
                    <m:t>d</m:t>
                  </m:r>
                </m:e>
                <m:sup>
                  <m:r>
                    <w:rPr>
                      <w:rFonts w:ascii="Cambria Math" w:hAnsi="Cambria Math" w:cs="Arial"/>
                      <w:szCs w:val="28"/>
                    </w:rPr>
                    <m:t>2</m:t>
                  </m:r>
                </m:sup>
              </m:sSup>
            </m:den>
          </m:f>
        </m:oMath>
      </m:oMathPara>
    </w:p>
    <w:p w14:paraId="36D2EADD" w14:textId="2625F74F" w:rsidR="003814AD" w:rsidRDefault="003814AD" w:rsidP="001B395B">
      <w:pPr>
        <w:jc w:val="both"/>
      </w:pPr>
      <w:r>
        <w:t>• Discusión de Discrepancias:</w:t>
      </w:r>
      <w:r w:rsidR="001B395B">
        <w:t xml:space="preserve"> Se confirma que el cobre es un buen conductor de energía, </w:t>
      </w:r>
      <w:r w:rsidR="00F153CD">
        <w:t xml:space="preserve">que energías iguales se repelen y lo verificamos cuando las laminas se repelen por tener la misma carga. </w:t>
      </w:r>
    </w:p>
    <w:p w14:paraId="092891A7" w14:textId="4C63E5C8" w:rsidR="006C6124" w:rsidRDefault="003814AD" w:rsidP="001B395B">
      <w:pPr>
        <w:jc w:val="both"/>
      </w:pPr>
      <w:r>
        <w:t xml:space="preserve">• Conclusión: </w:t>
      </w:r>
      <w:r w:rsidR="00F153CD">
        <w:t>Si</w:t>
      </w:r>
      <w:r w:rsidR="00B64DFD">
        <w:t xml:space="preserve">, </w:t>
      </w:r>
      <w:r w:rsidR="00F153CD">
        <w:t xml:space="preserve">se </w:t>
      </w:r>
      <w:r w:rsidR="00B64DFD">
        <w:t>llegó</w:t>
      </w:r>
      <w:r w:rsidR="00F153CD">
        <w:t xml:space="preserve"> al objetivo de probar las cargas por inducción y conducción. Detectamos si un cuerpo en este caso </w:t>
      </w:r>
      <w:r w:rsidR="00B64DFD">
        <w:t xml:space="preserve">el globo y el paño de lana, están cargadas eléctricamente. Y también comprobamos la carga estática. </w:t>
      </w:r>
    </w:p>
    <w:sectPr w:rsidR="006C6124" w:rsidSect="003814AD">
      <w:pgSz w:w="12240" w:h="15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AD"/>
    <w:rsid w:val="000C08FD"/>
    <w:rsid w:val="001B395B"/>
    <w:rsid w:val="003814AD"/>
    <w:rsid w:val="004B2985"/>
    <w:rsid w:val="00603719"/>
    <w:rsid w:val="006762AD"/>
    <w:rsid w:val="006A1076"/>
    <w:rsid w:val="006C6124"/>
    <w:rsid w:val="00767A1A"/>
    <w:rsid w:val="007F26F7"/>
    <w:rsid w:val="0095427D"/>
    <w:rsid w:val="009A0FB4"/>
    <w:rsid w:val="00B64DFD"/>
    <w:rsid w:val="00E44844"/>
    <w:rsid w:val="00F153C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24D8"/>
  <w15:chartTrackingRefBased/>
  <w15:docId w15:val="{3AB8751D-CA3B-400E-8934-888FA3EE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6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6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62A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62A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62A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62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2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2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2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2A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62A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62A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62A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62A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62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2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2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2AD"/>
    <w:rPr>
      <w:rFonts w:eastAsiaTheme="majorEastAsia" w:cstheme="majorBidi"/>
      <w:color w:val="272727" w:themeColor="text1" w:themeTint="D8"/>
    </w:rPr>
  </w:style>
  <w:style w:type="paragraph" w:styleId="Ttulo">
    <w:name w:val="Title"/>
    <w:basedOn w:val="Normal"/>
    <w:next w:val="Normal"/>
    <w:link w:val="TtuloCar"/>
    <w:uiPriority w:val="10"/>
    <w:qFormat/>
    <w:rsid w:val="00676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2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2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2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2AD"/>
    <w:pPr>
      <w:spacing w:before="160"/>
      <w:jc w:val="center"/>
    </w:pPr>
    <w:rPr>
      <w:i/>
      <w:iCs/>
      <w:color w:val="404040" w:themeColor="text1" w:themeTint="BF"/>
    </w:rPr>
  </w:style>
  <w:style w:type="character" w:customStyle="1" w:styleId="CitaCar">
    <w:name w:val="Cita Car"/>
    <w:basedOn w:val="Fuentedeprrafopredeter"/>
    <w:link w:val="Cita"/>
    <w:uiPriority w:val="29"/>
    <w:rsid w:val="006762AD"/>
    <w:rPr>
      <w:i/>
      <w:iCs/>
      <w:color w:val="404040" w:themeColor="text1" w:themeTint="BF"/>
    </w:rPr>
  </w:style>
  <w:style w:type="paragraph" w:styleId="Prrafodelista">
    <w:name w:val="List Paragraph"/>
    <w:basedOn w:val="Normal"/>
    <w:uiPriority w:val="34"/>
    <w:qFormat/>
    <w:rsid w:val="006762AD"/>
    <w:pPr>
      <w:ind w:left="720"/>
      <w:contextualSpacing/>
    </w:pPr>
  </w:style>
  <w:style w:type="character" w:styleId="nfasisintenso">
    <w:name w:val="Intense Emphasis"/>
    <w:basedOn w:val="Fuentedeprrafopredeter"/>
    <w:uiPriority w:val="21"/>
    <w:qFormat/>
    <w:rsid w:val="006762AD"/>
    <w:rPr>
      <w:i/>
      <w:iCs/>
      <w:color w:val="2F5496" w:themeColor="accent1" w:themeShade="BF"/>
    </w:rPr>
  </w:style>
  <w:style w:type="paragraph" w:styleId="Citadestacada">
    <w:name w:val="Intense Quote"/>
    <w:basedOn w:val="Normal"/>
    <w:next w:val="Normal"/>
    <w:link w:val="CitadestacadaCar"/>
    <w:uiPriority w:val="30"/>
    <w:qFormat/>
    <w:rsid w:val="00676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62AD"/>
    <w:rPr>
      <w:i/>
      <w:iCs/>
      <w:color w:val="2F5496" w:themeColor="accent1" w:themeShade="BF"/>
    </w:rPr>
  </w:style>
  <w:style w:type="character" w:styleId="Referenciaintensa">
    <w:name w:val="Intense Reference"/>
    <w:basedOn w:val="Fuentedeprrafopredeter"/>
    <w:uiPriority w:val="32"/>
    <w:qFormat/>
    <w:rsid w:val="006762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416</Words>
  <Characters>2208</Characters>
  <Application>Microsoft Office Word</Application>
  <DocSecurity>0</DocSecurity>
  <Lines>35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YOSELIN KARINA DE LEON ARRIAZA</dc:creator>
  <cp:keywords/>
  <dc:description/>
  <cp:lastModifiedBy>MARIO DANIEL SAJVIN GOMEZ</cp:lastModifiedBy>
  <cp:revision>2</cp:revision>
  <dcterms:created xsi:type="dcterms:W3CDTF">2026-02-12T05:36:00Z</dcterms:created>
  <dcterms:modified xsi:type="dcterms:W3CDTF">2026-02-12T05:36:00Z</dcterms:modified>
</cp:coreProperties>
</file>