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sz w:val="26"/>
        </w:rPr>
        <w:t>Симбиоз классификаторов: ансамблевая интеграция метода подпространственной сопряжённости с классическими моделями машинного обучения и свёрточными нейронными сетями</w:t>
      </w:r>
    </w:p>
    <w:p>
      <w:pPr>
        <w:spacing w:after="200"/>
        <w:jc w:val="center"/>
      </w:pPr>
      <w:r>
        <w:rPr>
          <w:rFonts w:ascii="Times New Roman" w:hAnsi="Times New Roman" w:eastAsia="Times New Roman" w:cs="Times New Roman"/>
          <w:b w:val="0"/>
          <w:i/>
          <w:sz w:val="17"/>
        </w:rPr>
        <w:t>Экспериментальный отчёт по методу подпространственной сопряжённости (вторая статья исследовательского цикла)</w:t>
      </w:r>
    </w:p>
    <w:p>
      <w:pPr>
        <w:spacing w:before="160" w:after="80"/>
      </w:pPr>
      <w:r>
        <w:rPr>
          <w:rFonts w:ascii="Times New Roman" w:hAnsi="Times New Roman" w:eastAsia="Times New Roman" w:cs="Times New Roman"/>
          <w:b/>
          <w:sz w:val="22"/>
        </w:rPr>
        <w:t>1. Цель эксперимента</w:t>
      </w:r>
    </w:p>
    <w:p>
      <w:pPr>
        <w:spacing w:after="80" w:before="0"/>
      </w:pPr>
      <w:r>
        <w:rPr>
          <w:rFonts w:ascii="Times New Roman" w:hAnsi="Times New Roman" w:eastAsia="Times New Roman" w:cs="Times New Roman"/>
          <w:b w:val="0"/>
          <w:sz w:val="18"/>
        </w:rPr>
        <w:t>Три разных подхода к классификации изображений — метод подпространственной сопряжённости, классические модели машинного обучения и свёрточные нейронные сети — устроены совершенно по-разному внутри, и поэтому вполне могут ошибаться на РАЗНЫХ объектах: там, где один подход путается, два других могут быть правы. Это давно известное в статистике наблюдение — если ошибки нескольких независимых моделей не связаны друг с другом жёстко, то их объединение (например, голосование большинством) способно дать точность ВЫШЕ, чем у лучшей из моделей по отдельности. До сих пор в проекте три подхода сравнивались только как конкуренты — «кто лучше» — но никогда не проверялись как потенциальные СОСТАВНЫЕ ЧАСТИ одного объединённого решения.</w:t>
      </w:r>
    </w:p>
    <w:p>
      <w:pPr>
        <w:spacing w:after="80" w:before="0"/>
      </w:pPr>
      <w:r>
        <w:rPr>
          <w:rFonts w:ascii="Times New Roman" w:hAnsi="Times New Roman" w:eastAsia="Times New Roman" w:cs="Times New Roman"/>
          <w:b w:val="0"/>
          <w:sz w:val="18"/>
        </w:rPr>
        <w:t>Цель эксперимента — проверить, действительно ли объединение (симбиоз) трёх подходов даёт точность выше, чем у лучшего из них по отдельности, и понять, за счёт чего именно это происходит (или не происходит). Для этого решаются четыре задачи: (1) измерить, насколько ошибки трёх моделей связаны друг с другом; (2) построить три разных способа объединения предсказаний; (3) честно сравнить точность объединённых решений с точностью лучшей одиночной модели на отложенной тестовой выборке; (4) проверить, устраняет ли объединение конкретную слабость метода сопряжённости на том классе, где он справляется хуже всего.</w:t>
      </w:r>
    </w:p>
    <w:p>
      <w:pPr>
        <w:spacing w:before="160" w:after="80"/>
      </w:pPr>
      <w:r>
        <w:rPr>
          <w:rFonts w:ascii="Times New Roman" w:hAnsi="Times New Roman" w:eastAsia="Times New Roman" w:cs="Times New Roman"/>
          <w:b/>
          <w:sz w:val="22"/>
        </w:rPr>
        <w:t>2. Теория</w:t>
      </w:r>
    </w:p>
    <w:p>
      <w:pPr>
        <w:spacing w:before="100" w:after="80"/>
      </w:pPr>
      <w:r>
        <w:rPr>
          <w:rFonts w:ascii="Times New Roman" w:hAnsi="Times New Roman" w:eastAsia="Times New Roman" w:cs="Times New Roman"/>
          <w:b/>
          <w:sz w:val="20"/>
        </w:rPr>
        <w:t>2.1. Три базовые модели</w:t>
      </w:r>
    </w:p>
    <w:p>
      <w:pPr>
        <w:spacing w:after="80" w:before="0"/>
      </w:pPr>
      <w:r>
        <w:rPr>
          <w:rFonts w:ascii="Times New Roman" w:hAnsi="Times New Roman" w:eastAsia="Times New Roman" w:cs="Times New Roman"/>
          <w:b w:val="0"/>
          <w:sz w:val="18"/>
        </w:rPr>
        <w:t>Метод подпространственной сопряжённости строит для каждого класса набор эталонных «подпространств» и относит новый объект x к тому классу, чьё подпространство лучше всего его объясняет — по показателю сопряжённости:</w:t>
      </w:r>
    </w:p>
    <w:p>
      <w:pPr>
        <w:spacing w:after="60"/>
        <w:jc w:val="center"/>
      </w:pPr>
      <w:r>
        <w:drawing>
          <wp:inline xmlns:a="http://schemas.openxmlformats.org/drawingml/2006/main" xmlns:pic="http://schemas.openxmlformats.org/drawingml/2006/picture">
            <wp:extent cx="2377440" cy="592167"/>
            <wp:docPr id="1" name="Picture 1"/>
            <wp:cNvGraphicFramePr>
              <a:graphicFrameLocks noChangeAspect="1"/>
            </wp:cNvGraphicFramePr>
            <a:graphic>
              <a:graphicData uri="http://schemas.openxmlformats.org/drawingml/2006/picture">
                <pic:pic>
                  <pic:nvPicPr>
                    <pic:cNvPr id="0" name="tmp687rh7ru.png"/>
                    <pic:cNvPicPr/>
                  </pic:nvPicPr>
                  <pic:blipFill>
                    <a:blip r:embed="rId9"/>
                    <a:stretch>
                      <a:fillRect/>
                    </a:stretch>
                  </pic:blipFill>
                  <pic:spPr>
                    <a:xfrm>
                      <a:off x="0" y="0"/>
                      <a:ext cx="2377440" cy="592167"/>
                    </a:xfrm>
                    <a:prstGeom prst="rect"/>
                  </pic:spPr>
                </pic:pic>
              </a:graphicData>
            </a:graphic>
          </wp:inline>
        </w:drawing>
      </w:r>
    </w:p>
    <w:p>
      <w:pPr>
        <w:spacing w:after="80" w:before="0"/>
      </w:pPr>
      <w:r>
        <w:rPr>
          <w:rFonts w:ascii="Times New Roman" w:hAnsi="Times New Roman" w:eastAsia="Times New Roman" w:cs="Times New Roman"/>
          <w:b w:val="0"/>
          <w:sz w:val="18"/>
        </w:rPr>
        <w:t>где Y — матрица опорных (эталонных) векторов подпространства класса. R принимает значения от 0 (объект никак не объясняется этим подпространством) до 1 (объект целиком лежит в нём) — подробное объяснение всех величин формулы дано в отчёте по первой статье цикла.</w:t>
      </w:r>
    </w:p>
    <w:p>
      <w:pPr>
        <w:spacing w:after="80" w:before="0"/>
      </w:pPr>
      <w:r>
        <w:rPr>
          <w:rFonts w:ascii="Times New Roman" w:hAnsi="Times New Roman" w:eastAsia="Times New Roman" w:cs="Times New Roman"/>
          <w:b w:val="0"/>
          <w:sz w:val="18"/>
        </w:rPr>
        <w:t>Классический подход машинного обучения здесь состоит из двух шагов. Сначала метод главных компонент (PCA) сжимает исходное изображение (несколько тысяч чисел — по яркости каждого канала цвета каждого пикселя) до значительно меньшего числа новых признаков — так называемых «главных компонент», которые устроены как линейные комбинации исходных пикселей, выбранные так, чтобы сохранить как можно больше изменчивости (разнообразия) исходных изображений при заметно меньшем числе величин. Затем логистическая регрессия — один из самых простых и широко используемых классификаторов — по этим сжатым признакам вычисляет для каждого класса число («логит»), пропускает набор чисел через функцию softmax (обобщение сигмоиды на несколько классов, превращающее произвольные числа в вероятности, которые в сумме дают 1) и относит объект к классу с наибольшей получившейся вероятностью.</w:t>
      </w:r>
    </w:p>
    <w:p>
      <w:pPr>
        <w:spacing w:after="80" w:before="0"/>
      </w:pPr>
      <w:r>
        <w:rPr>
          <w:rFonts w:ascii="Times New Roman" w:hAnsi="Times New Roman" w:eastAsia="Times New Roman" w:cs="Times New Roman"/>
          <w:b w:val="0"/>
          <w:sz w:val="18"/>
        </w:rPr>
        <w:t>Свёрточная нейронная сеть обрабатывает изображение, не разворачивая его в один длинный список чисел, а сохраняя двумерную структуру: небольшое скользящее окно (свёрточный фильтр) проходит по всему изображению и на каждом положении вычисляет одно число — меру того, насколько под этим окном присутствует некоторый узнаваемый локальный узор (например, край контрастной области или пятно определённого оттенка). Слой подвыборки (пулинг) после этого укрупняет картинку, оставляя в каждой небольшой области только самое сильное сработавшее значение, что делает сеть менее чувствительной к точному положению узора. После нескольких таких слоёв конечный, уже сильно сжатый набор чисел подаётся на линейный классификатор, аналогичный логистической регрессии. Обучение сети происходит итеративно: на каждом шаге через сеть пропускается небольшая порция обучающих изображений, вычисляется величина ошибки (насколько предсказанные вероятности расходятся с истинными метками), и все внутренние числовые параметры фильтров чуть-чуть подстраиваются в направлении, уменьшающем эту ошибку (градиентный спуск). Один полный проход по всей обучающей выборке называется эпохой; для получения работоспособной сети таких проходов обычно требуются десятки.</w:t>
      </w:r>
    </w:p>
    <w:p>
      <w:pPr>
        <w:spacing w:before="100" w:after="80"/>
      </w:pPr>
      <w:r>
        <w:rPr>
          <w:rFonts w:ascii="Times New Roman" w:hAnsi="Times New Roman" w:eastAsia="Times New Roman" w:cs="Times New Roman"/>
          <w:b/>
          <w:sz w:val="20"/>
        </w:rPr>
        <w:t>2.2. Насколько ошибки моделей связаны друг с другом</w:t>
      </w:r>
    </w:p>
    <w:p>
      <w:pPr>
        <w:spacing w:after="80" w:before="0"/>
      </w:pPr>
      <w:r>
        <w:rPr>
          <w:rFonts w:ascii="Times New Roman" w:hAnsi="Times New Roman" w:eastAsia="Times New Roman" w:cs="Times New Roman"/>
          <w:b w:val="0"/>
          <w:sz w:val="18"/>
        </w:rPr>
        <w:t>Пусть на одной и той же тестовой выборке из M объектов получены предсказания нескольких моделей. Для каждого объекта можно подсчитать, СКОЛЬКО из моделей ошиблось именно на нём — число от 0 (все правы) до числа моделей (все ошиблись). Из распределения этого числа по всем объектам выводятся три показателя, которые дают прямую количественную оценку того, есть ли смысл в объединении моделей:</w:t>
      </w:r>
    </w:p>
    <w:p>
      <w:pPr>
        <w:pStyle w:val="ListBullet"/>
        <w:spacing w:after="40"/>
      </w:pPr>
      <w:r>
        <w:rPr>
          <w:rFonts w:ascii="Times New Roman" w:hAnsi="Times New Roman" w:eastAsia="Times New Roman" w:cs="Times New Roman"/>
          <w:b w:val="0"/>
          <w:sz w:val="18"/>
        </w:rPr>
        <w:t>потенциал ансамбля — доля объектов, на которых ошибается РОВНО ОДНА модель из нескольких: эти ошибки в принципе исправимы, так как большинство моделей на этих объектах правы;</w:t>
      </w:r>
    </w:p>
    <w:p>
      <w:pPr>
        <w:pStyle w:val="ListBullet"/>
        <w:spacing w:after="40"/>
      </w:pPr>
      <w:r>
        <w:rPr>
          <w:rFonts w:ascii="Times New Roman" w:hAnsi="Times New Roman" w:eastAsia="Times New Roman" w:cs="Times New Roman"/>
          <w:b w:val="0"/>
          <w:sz w:val="18"/>
        </w:rPr>
        <w:t>жёсткий потолок — доля объектов, на которых ошибаются ВСЕ модели сразу: такие ошибки не исправит никакое объединение предсказаний уже обученных моделей, потому что верного ответа среди них попросту нет;</w:t>
      </w:r>
    </w:p>
    <w:p>
      <w:pPr>
        <w:pStyle w:val="ListBullet"/>
        <w:spacing w:after="40"/>
      </w:pPr>
      <w:r>
        <w:rPr>
          <w:rFonts w:ascii="Times New Roman" w:hAnsi="Times New Roman" w:eastAsia="Times New Roman" w:cs="Times New Roman"/>
          <w:b w:val="0"/>
          <w:sz w:val="18"/>
        </w:rPr>
        <w:t>точность «оракула» — доля объектов, на которых права ХОТЯ БЫ ОДНА модель (величина, дополняющая жёсткий потолок до 100%). Это теоретический потолок точности любого способа выбора между уже обученными моделями объект за объектом — идеальный, но практически недостижимый ориентир, к которому реальное объединение может лишь приближаться.</w:t>
      </w:r>
    </w:p>
    <w:p>
      <w:pPr>
        <w:spacing w:after="80" w:before="0"/>
      </w:pPr>
      <w:r>
        <w:rPr>
          <w:rFonts w:ascii="Times New Roman" w:hAnsi="Times New Roman" w:eastAsia="Times New Roman" w:cs="Times New Roman"/>
          <w:b w:val="0"/>
          <w:sz w:val="18"/>
        </w:rPr>
        <w:t>Дополнительно считается коэффициент корреляции Пирсона между бинарными («ошиблась»/«не ошиблась») индикаторами двух моделей на одних и тех же объектах — стандартная статистическая мера линейной связи двух величин, принимающая значения от −1 (чем чаще ошибается одна модель, тем реже — другая) до +1 (модели ошибаются вместе почти всегда). Высокая положительная корреляция ошибок означает, что модели, скорее всего, путаются на одних и тех же «трудных» объектах по общей причине (например, из-за низкого качества конкретного снимка) — в этом случае от объединения моделей пользы ждать не стоит.</w:t>
      </w:r>
    </w:p>
    <w:p>
      <w:pPr>
        <w:spacing w:before="100" w:after="80"/>
      </w:pPr>
      <w:r>
        <w:rPr>
          <w:rFonts w:ascii="Times New Roman" w:hAnsi="Times New Roman" w:eastAsia="Times New Roman" w:cs="Times New Roman"/>
          <w:b/>
          <w:sz w:val="20"/>
        </w:rPr>
        <w:t>2.3. Три способа объединения предсказаний</w:t>
      </w:r>
    </w:p>
    <w:p>
      <w:pPr>
        <w:spacing w:after="80" w:before="0"/>
      </w:pPr>
      <w:r>
        <w:rPr>
          <w:rFonts w:ascii="Times New Roman" w:hAnsi="Times New Roman" w:eastAsia="Times New Roman" w:cs="Times New Roman"/>
          <w:b w:val="0"/>
          <w:sz w:val="18"/>
        </w:rPr>
        <w:t>Голосование: вероятности, которые каждая модель присваивает каждому классу, усредняются (при необходимости — с разными весами моделей), и объект относится к классу с наибольшей усреднённой вероятностью.</w:t>
      </w:r>
    </w:p>
    <w:p>
      <w:pPr>
        <w:spacing w:after="80" w:before="0"/>
      </w:pPr>
      <w:r>
        <w:rPr>
          <w:rFonts w:ascii="Times New Roman" w:hAnsi="Times New Roman" w:eastAsia="Times New Roman" w:cs="Times New Roman"/>
          <w:b w:val="0"/>
          <w:sz w:val="18"/>
        </w:rPr>
        <w:t>Стекинг: вероятности всех трёх моделей по всем классам объединяются в один общий, более длинный список чисел, который становится входом для дополнительной, отдельно обучаемой «надстроечной» модели (в этом эксперименте — тоже логистическая регрессия). Эта надстроечная модель обучается не на исходных изображениях, а на самих вероятностных ответах трёх базовых моделей — она учится тому, каким моделям и в каких ситуациях доверять больше. Как и любая обучаемая модель, надстроечная модель в принципе уязвима к перекосу классов в данных, на которых она обучается, — если один класс сильно преобладает, обучение без специальных поправок может свести её к правилу «всегда предсказывать самый частый класс». В этом эксперименте (раздел 3) обучающая и проверочная выборки намеренно сбалансированы поровну по всем классам, поэтому такой риск не реализуется — раздел 4.2 проверяет это прямым сравнением с версией стекинга, обученной со специальной поправкой на неравномерность классов.</w:t>
      </w:r>
    </w:p>
    <w:p>
      <w:pPr>
        <w:spacing w:after="80" w:before="0"/>
      </w:pPr>
      <w:r>
        <w:rPr>
          <w:rFonts w:ascii="Times New Roman" w:hAnsi="Times New Roman" w:eastAsia="Times New Roman" w:cs="Times New Roman"/>
          <w:b w:val="0"/>
          <w:sz w:val="18"/>
        </w:rPr>
        <w:t>Селективное переключение: для каждого класса ОТДЕЛЬНО заранее (по специально отложенной проверочной выборке) выбирается один «чемпион» — та из трёх моделей, которая лучше всех остальных распознаёт именно этот класс (доля верно распознанных объектов этого класса, также называемая полнотой или recall). При итоговой классификации оценка каждого класса берётся СТРОГО у его чемпиона, а не усредняется между всеми моделями — то есть, например, метод сопряжённости может целиком отвечать за один класс, а свёрточная сеть — за другой.</w:t>
      </w:r>
    </w:p>
    <w:p>
      <w:pPr>
        <w:spacing w:before="160" w:after="80"/>
      </w:pPr>
      <w:r>
        <w:rPr>
          <w:rFonts w:ascii="Times New Roman" w:hAnsi="Times New Roman" w:eastAsia="Times New Roman" w:cs="Times New Roman"/>
          <w:b/>
          <w:sz w:val="22"/>
        </w:rPr>
        <w:t>3. Датасет</w:t>
      </w:r>
    </w:p>
    <w:p>
      <w:pPr>
        <w:spacing w:after="80" w:before="0"/>
      </w:pPr>
      <w:r>
        <w:rPr>
          <w:rFonts w:ascii="Times New Roman" w:hAnsi="Times New Roman" w:eastAsia="Times New Roman" w:cs="Times New Roman"/>
          <w:b w:val="0"/>
          <w:sz w:val="18"/>
        </w:rPr>
        <w:t>Набор данных — полная открытая коллекция дерматоскопических изображений новообразований кожи HAM10000/ISIC2018 (10 015 изображений, 7 классов патологий), скачанная напрямую с научного архива Harvard Dataverse. Каждое изображение приведено к квадрату 128x128 пикселей, три цветовых канала (исходные снимки коллекции — прямоугольные, около 600x450 пикселей; уменьшение размера — единственный шаг подготовки перед тем, как изображение превращается в вектор признаков).</w:t>
      </w:r>
    </w:p>
    <w:p>
      <w:pPr>
        <w:spacing w:after="80" w:before="0"/>
      </w:pPr>
      <w:r>
        <w:rPr>
          <w:rFonts w:ascii="Times New Roman" w:hAnsi="Times New Roman" w:eastAsia="Times New Roman" w:cs="Times New Roman"/>
          <w:b w:val="0"/>
          <w:sz w:val="18"/>
        </w:rPr>
        <w:t>Семь классов патологий: актинический кератоз; базальноклеточный рак; доброкачественный кератоз; дерматофиброма; меланома; меланоцитарный невус; сосудистое новообразование.</w:t>
      </w:r>
    </w:p>
    <w:p>
      <w:pPr>
        <w:spacing w:after="80" w:before="0"/>
      </w:pPr>
      <w:r>
        <w:rPr>
          <w:rFonts w:ascii="Times New Roman" w:hAnsi="Times New Roman" w:eastAsia="Times New Roman" w:cs="Times New Roman"/>
          <w:b w:val="0"/>
          <w:sz w:val="18"/>
        </w:rPr>
        <w:t>В полном наборе данных классы представлены КРАЙНЕ неравномерно (так же, как и в реальной клинической практике): актинический кератоз — 327; базальноклеточный рак — 514; доброкачественный кератоз — 1099; дерматофиброма — 115; меланома — 1113; меланоцитарный невус — 6705; сосудистое новообразование — 142. Самый частый класс (меланоцитарный невус) почти в 60 раз больше самого редкого (дерматофиброма).</w:t>
      </w:r>
    </w:p>
    <w:p>
      <w:pPr>
        <w:spacing w:after="80" w:before="0"/>
      </w:pPr>
      <w:r>
        <w:rPr>
          <w:rFonts w:ascii="Times New Roman" w:hAnsi="Times New Roman" w:eastAsia="Times New Roman" w:cs="Times New Roman"/>
          <w:b w:val="0"/>
          <w:sz w:val="18"/>
        </w:rPr>
        <w:t>Чтобы различия в точности моделей отражали свойства САМИХ МЕТОДОВ, а не разный объём или состав обучающих данных по классам, обучающая, проверочная и тестовая выборки построены здесь самостоятельно (не используется никакое готовое разбиение): из ВСЕХ доступных изображений каждого класса случайно и без пересечений отобрано ОДИНАКОВОЕ число примеров — 60 для обучения, 15 для проверочной выборки и 30 для теста (в сумме 105 на класс — ограничено самым малочисленным классом набора данных, дерматофибромой, у которой всего 115 изображений). Итого 420 обучающих, 105 проверочных и 210 тестовых изображений — заметно меньше, чем всего доступно в полном наборе данных, но РАВНОМЕРНО по всем семи классам сразу на всех трёх этапах. Проверочная выборка используется для диагностики согласованности ошибок и настройки схем объединения (НЕ участвует в обучении базовых моделей). Итоговая точность измеряется исключительно на тестовой выборке, не участвующей ни в обучении моделей, ни в настройке их объединения.</w:t>
      </w:r>
    </w:p>
    <w:p>
      <w:pPr>
        <w:spacing w:after="60"/>
        <w:jc w:val="center"/>
      </w:pPr>
      <w:r>
        <w:drawing>
          <wp:inline xmlns:a="http://schemas.openxmlformats.org/drawingml/2006/main" xmlns:pic="http://schemas.openxmlformats.org/drawingml/2006/picture">
            <wp:extent cx="4206240" cy="2126402"/>
            <wp:docPr id="2" name="Picture 2"/>
            <wp:cNvGraphicFramePr>
              <a:graphicFrameLocks noChangeAspect="1"/>
            </wp:cNvGraphicFramePr>
            <a:graphic>
              <a:graphicData uri="http://schemas.openxmlformats.org/drawingml/2006/picture">
                <pic:pic>
                  <pic:nvPicPr>
                    <pic:cNvPr id="0" name="dataset_montage.png"/>
                    <pic:cNvPicPr/>
                  </pic:nvPicPr>
                  <pic:blipFill>
                    <a:blip r:embed="rId10"/>
                    <a:stretch>
                      <a:fillRect/>
                    </a:stretch>
                  </pic:blipFill>
                  <pic:spPr>
                    <a:xfrm>
                      <a:off x="0" y="0"/>
                      <a:ext cx="4206240" cy="2126402"/>
                    </a:xfrm>
                    <a:prstGeom prst="rect"/>
                  </pic:spPr>
                </pic:pic>
              </a:graphicData>
            </a:graphic>
          </wp:inline>
        </w:drawing>
      </w:r>
    </w:p>
    <w:p>
      <w:pPr>
        <w:spacing w:after="160"/>
        <w:jc w:val="center"/>
      </w:pPr>
      <w:r>
        <w:rPr>
          <w:rFonts w:ascii="Times New Roman" w:hAnsi="Times New Roman" w:eastAsia="Times New Roman" w:cs="Times New Roman"/>
          <w:b w:val="0"/>
          <w:i/>
          <w:sz w:val="16"/>
        </w:rPr>
        <w:t>Рис. 1. По одному примеру на каждый из 7 классов набора данных.</w:t>
      </w:r>
    </w:p>
    <w:p>
      <w:pPr>
        <w:spacing w:after="60"/>
        <w:jc w:val="center"/>
      </w:pPr>
      <w:r>
        <w:drawing>
          <wp:inline xmlns:a="http://schemas.openxmlformats.org/drawingml/2006/main" xmlns:pic="http://schemas.openxmlformats.org/drawingml/2006/picture">
            <wp:extent cx="4206240" cy="1704896"/>
            <wp:docPr id="3" name="Picture 3"/>
            <wp:cNvGraphicFramePr>
              <a:graphicFrameLocks noChangeAspect="1"/>
            </wp:cNvGraphicFramePr>
            <a:graphic>
              <a:graphicData uri="http://schemas.openxmlformats.org/drawingml/2006/picture">
                <pic:pic>
                  <pic:nvPicPr>
                    <pic:cNvPr id="0" name="subspace_projection.png"/>
                    <pic:cNvPicPr/>
                  </pic:nvPicPr>
                  <pic:blipFill>
                    <a:blip r:embed="rId11"/>
                    <a:stretch>
                      <a:fillRect/>
                    </a:stretch>
                  </pic:blipFill>
                  <pic:spPr>
                    <a:xfrm>
                      <a:off x="0" y="0"/>
                      <a:ext cx="4206240" cy="1704896"/>
                    </a:xfrm>
                    <a:prstGeom prst="rect"/>
                  </pic:spPr>
                </pic:pic>
              </a:graphicData>
            </a:graphic>
          </wp:inline>
        </w:drawing>
      </w:r>
    </w:p>
    <w:p>
      <w:pPr>
        <w:spacing w:after="160"/>
        <w:jc w:val="center"/>
      </w:pPr>
      <w:r>
        <w:rPr>
          <w:rFonts w:ascii="Times New Roman" w:hAnsi="Times New Roman" w:eastAsia="Times New Roman" w:cs="Times New Roman"/>
          <w:b w:val="0"/>
          <w:i/>
          <w:sz w:val="16"/>
        </w:rPr>
        <w:t>Рис. 2. «До/после» в терминах метода сопряжённости — верхний ряд: тестовые изображения класса «меланома»; нижний ряд — их проекция (ближайшее приближение) на выращенное подпространство этого класса. Значения показателя сопряжённости R слева направо: 0.991, 0.997, 0.993, 0.997, 0.982.</w:t>
      </w:r>
    </w:p>
    <w:p>
      <w:pPr>
        <w:spacing w:after="80" w:before="0"/>
      </w:pPr>
      <w:r>
        <w:rPr>
          <w:rFonts w:ascii="Times New Roman" w:hAnsi="Times New Roman" w:eastAsia="Times New Roman" w:cs="Times New Roman"/>
          <w:b w:val="0"/>
          <w:sz w:val="18"/>
        </w:rPr>
        <w:t>Простая нормировка яркости в диапазон от 0 до 1 (единственный формальный шаг подготовки перед тем, как изображение превращается в вектор признаков) визуально неотличима от исходных изображений — поэтому в качестве содержательной иллюстрации «до/после» здесь показана проекция на подпространство (рис. 2), непосредственно связанная с теорией метода (раздел 2.1).</w:t>
      </w:r>
    </w:p>
    <w:p>
      <w:pPr>
        <w:spacing w:before="160" w:after="80"/>
      </w:pPr>
      <w:r>
        <w:rPr>
          <w:rFonts w:ascii="Times New Roman" w:hAnsi="Times New Roman" w:eastAsia="Times New Roman" w:cs="Times New Roman"/>
          <w:b/>
          <w:sz w:val="22"/>
        </w:rPr>
        <w:t>4. Результаты эксперимента</w:t>
      </w:r>
    </w:p>
    <w:p>
      <w:pPr>
        <w:spacing w:before="160" w:after="80"/>
      </w:pPr>
      <w:r>
        <w:rPr>
          <w:rFonts w:ascii="Times New Roman" w:hAnsi="Times New Roman" w:eastAsia="Times New Roman" w:cs="Times New Roman"/>
          <w:b/>
          <w:sz w:val="22"/>
        </w:rPr>
        <w:t>4.1. Насколько связаны ошибки трёх моделей</w:t>
      </w:r>
    </w:p>
    <w:p>
      <w:pPr>
        <w:spacing w:after="80" w:before="0"/>
      </w:pPr>
      <w:r>
        <w:rPr>
          <w:rFonts w:ascii="Times New Roman" w:hAnsi="Times New Roman" w:eastAsia="Times New Roman" w:cs="Times New Roman"/>
          <w:b w:val="0"/>
          <w:sz w:val="18"/>
        </w:rPr>
        <w:t>Диагностика проведена на проверочной выборке — той же, что позже используется для настройки схем объединения, но ни разу не показывалась ни одной из трёх моделей во время обучения. Задача — семь классов, 15 изображений на класс в проверочной выборке; значения точности ниже, чем в более лёгких задачах распознавания образов, — ожидаемо для семиклассовой медицинской классификации на небольшом объёме обучающих данных (раздел 3: 60 изображений на класс).</w:t>
      </w:r>
    </w:p>
    <w:p>
      <w:pPr>
        <w:spacing w:after="60"/>
        <w:jc w:val="center"/>
      </w:pPr>
      <w:r>
        <w:drawing>
          <wp:inline xmlns:a="http://schemas.openxmlformats.org/drawingml/2006/main" xmlns:pic="http://schemas.openxmlformats.org/drawingml/2006/picture">
            <wp:extent cx="4206240" cy="2379974"/>
            <wp:docPr id="4" name="Picture 4"/>
            <wp:cNvGraphicFramePr>
              <a:graphicFrameLocks noChangeAspect="1"/>
            </wp:cNvGraphicFramePr>
            <a:graphic>
              <a:graphicData uri="http://schemas.openxmlformats.org/drawingml/2006/picture">
                <pic:pic>
                  <pic:nvPicPr>
                    <pic:cNvPr id="0" name="tmpc_1mhd9u.png"/>
                    <pic:cNvPicPr/>
                  </pic:nvPicPr>
                  <pic:blipFill>
                    <a:blip r:embed="rId12"/>
                    <a:stretch>
                      <a:fillRect/>
                    </a:stretch>
                  </pic:blipFill>
                  <pic:spPr>
                    <a:xfrm>
                      <a:off x="0" y="0"/>
                      <a:ext cx="4206240" cy="2379974"/>
                    </a:xfrm>
                    <a:prstGeom prst="rect"/>
                  </pic:spPr>
                </pic:pic>
              </a:graphicData>
            </a:graphic>
          </wp:inline>
        </w:drawing>
      </w:r>
    </w:p>
    <w:p>
      <w:pPr>
        <w:spacing w:after="160"/>
        <w:jc w:val="center"/>
      </w:pPr>
      <w:r>
        <w:rPr>
          <w:rFonts w:ascii="Times New Roman" w:hAnsi="Times New Roman" w:eastAsia="Times New Roman" w:cs="Times New Roman"/>
          <w:b w:val="0"/>
          <w:i/>
          <w:sz w:val="16"/>
        </w:rPr>
        <w:t>Рис. 3. Точность каждой базовой модели по отдельности и верхняя граница «оракула».</w:t>
      </w:r>
    </w:p>
    <w:tbl>
      <w:tblPr>
        <w:tblStyle w:val="TableGrid"/>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eastAsia="Times New Roman" w:cs="Times New Roman"/>
                <w:b w:val="0"/>
                <w:sz w:val="16"/>
              </w:rPr>
              <w:t>Пара моделей</w:t>
            </w:r>
          </w:p>
        </w:tc>
        <w:tc>
          <w:tcPr>
            <w:tcW w:type="dxa" w:w="3307"/>
          </w:tcPr>
          <w:p>
            <w:r>
              <w:rPr>
                <w:rFonts w:ascii="Times New Roman" w:hAnsi="Times New Roman" w:eastAsia="Times New Roman" w:cs="Times New Roman"/>
                <w:b w:val="0"/>
                <w:sz w:val="16"/>
              </w:rPr>
              <w:t>Доля совпадающих предсказаний</w:t>
            </w:r>
          </w:p>
        </w:tc>
        <w:tc>
          <w:tcPr>
            <w:tcW w:type="dxa" w:w="3307"/>
          </w:tcPr>
          <w:p>
            <w:r>
              <w:rPr>
                <w:rFonts w:ascii="Times New Roman" w:hAnsi="Times New Roman" w:eastAsia="Times New Roman" w:cs="Times New Roman"/>
                <w:b w:val="0"/>
                <w:sz w:val="16"/>
              </w:rPr>
              <w:t>Корреляция ошибок</w:t>
            </w:r>
          </w:p>
        </w:tc>
      </w:tr>
      <w:tr>
        <w:tc>
          <w:tcPr>
            <w:tcW w:type="dxa" w:w="3307"/>
          </w:tcPr>
          <w:p>
            <w:r>
              <w:rPr>
                <w:rFonts w:ascii="Times New Roman" w:hAnsi="Times New Roman" w:eastAsia="Times New Roman" w:cs="Times New Roman"/>
                <w:b w:val="0"/>
                <w:sz w:val="16"/>
              </w:rPr>
              <w:t>Метод сопряжённости / Классический ML</w:t>
            </w:r>
          </w:p>
        </w:tc>
        <w:tc>
          <w:tcPr>
            <w:tcW w:type="dxa" w:w="3307"/>
          </w:tcPr>
          <w:p>
            <w:r>
              <w:rPr>
                <w:rFonts w:ascii="Times New Roman" w:hAnsi="Times New Roman" w:eastAsia="Times New Roman" w:cs="Times New Roman"/>
                <w:b w:val="0"/>
                <w:sz w:val="16"/>
              </w:rPr>
              <w:t>0.305</w:t>
            </w:r>
          </w:p>
        </w:tc>
        <w:tc>
          <w:tcPr>
            <w:tcW w:type="dxa" w:w="3307"/>
          </w:tcPr>
          <w:p>
            <w:r>
              <w:rPr>
                <w:rFonts w:ascii="Times New Roman" w:hAnsi="Times New Roman" w:eastAsia="Times New Roman" w:cs="Times New Roman"/>
                <w:b w:val="0"/>
                <w:sz w:val="16"/>
              </w:rPr>
              <w:t>0.176</w:t>
            </w:r>
          </w:p>
        </w:tc>
      </w:tr>
      <w:tr>
        <w:tc>
          <w:tcPr>
            <w:tcW w:type="dxa" w:w="3307"/>
          </w:tcPr>
          <w:p>
            <w:r>
              <w:rPr>
                <w:rFonts w:ascii="Times New Roman" w:hAnsi="Times New Roman" w:eastAsia="Times New Roman" w:cs="Times New Roman"/>
                <w:b w:val="0"/>
                <w:sz w:val="16"/>
              </w:rPr>
              <w:t>Метод сопряжённости / Свёрточная сеть</w:t>
            </w:r>
          </w:p>
        </w:tc>
        <w:tc>
          <w:tcPr>
            <w:tcW w:type="dxa" w:w="3307"/>
          </w:tcPr>
          <w:p>
            <w:r>
              <w:rPr>
                <w:rFonts w:ascii="Times New Roman" w:hAnsi="Times New Roman" w:eastAsia="Times New Roman" w:cs="Times New Roman"/>
                <w:b w:val="0"/>
                <w:sz w:val="16"/>
              </w:rPr>
              <w:t>0.381</w:t>
            </w:r>
          </w:p>
        </w:tc>
        <w:tc>
          <w:tcPr>
            <w:tcW w:type="dxa" w:w="3307"/>
          </w:tcPr>
          <w:p>
            <w:r>
              <w:rPr>
                <w:rFonts w:ascii="Times New Roman" w:hAnsi="Times New Roman" w:eastAsia="Times New Roman" w:cs="Times New Roman"/>
                <w:b w:val="0"/>
                <w:sz w:val="16"/>
              </w:rPr>
              <w:t>0.405</w:t>
            </w:r>
          </w:p>
        </w:tc>
      </w:tr>
      <w:tr>
        <w:tc>
          <w:tcPr>
            <w:tcW w:type="dxa" w:w="3307"/>
          </w:tcPr>
          <w:p>
            <w:r>
              <w:rPr>
                <w:rFonts w:ascii="Times New Roman" w:hAnsi="Times New Roman" w:eastAsia="Times New Roman" w:cs="Times New Roman"/>
                <w:b w:val="0"/>
                <w:sz w:val="16"/>
              </w:rPr>
              <w:t>Классический ML / Свёрточная сеть</w:t>
            </w:r>
          </w:p>
        </w:tc>
        <w:tc>
          <w:tcPr>
            <w:tcW w:type="dxa" w:w="3307"/>
          </w:tcPr>
          <w:p>
            <w:r>
              <w:rPr>
                <w:rFonts w:ascii="Times New Roman" w:hAnsi="Times New Roman" w:eastAsia="Times New Roman" w:cs="Times New Roman"/>
                <w:b w:val="0"/>
                <w:sz w:val="16"/>
              </w:rPr>
              <w:t>0.457</w:t>
            </w:r>
          </w:p>
        </w:tc>
        <w:tc>
          <w:tcPr>
            <w:tcW w:type="dxa" w:w="3307"/>
          </w:tcPr>
          <w:p>
            <w:r>
              <w:rPr>
                <w:rFonts w:ascii="Times New Roman" w:hAnsi="Times New Roman" w:eastAsia="Times New Roman" w:cs="Times New Roman"/>
                <w:b w:val="0"/>
                <w:sz w:val="16"/>
              </w:rPr>
              <w:t>0.412</w:t>
            </w:r>
          </w:p>
        </w:tc>
      </w:tr>
    </w:tbl>
    <w:p/>
    <w:p>
      <w:pPr>
        <w:spacing w:after="60"/>
        <w:jc w:val="center"/>
      </w:pPr>
      <w:r>
        <w:drawing>
          <wp:inline xmlns:a="http://schemas.openxmlformats.org/drawingml/2006/main" xmlns:pic="http://schemas.openxmlformats.org/drawingml/2006/picture">
            <wp:extent cx="3840480" cy="2350431"/>
            <wp:docPr id="5" name="Picture 5"/>
            <wp:cNvGraphicFramePr>
              <a:graphicFrameLocks noChangeAspect="1"/>
            </wp:cNvGraphicFramePr>
            <a:graphic>
              <a:graphicData uri="http://schemas.openxmlformats.org/drawingml/2006/picture">
                <pic:pic>
                  <pic:nvPicPr>
                    <pic:cNvPr id="0" name="tmphg6i14t_.png"/>
                    <pic:cNvPicPr/>
                  </pic:nvPicPr>
                  <pic:blipFill>
                    <a:blip r:embed="rId13"/>
                    <a:stretch>
                      <a:fillRect/>
                    </a:stretch>
                  </pic:blipFill>
                  <pic:spPr>
                    <a:xfrm>
                      <a:off x="0" y="0"/>
                      <a:ext cx="3840480" cy="2350431"/>
                    </a:xfrm>
                    <a:prstGeom prst="rect"/>
                  </pic:spPr>
                </pic:pic>
              </a:graphicData>
            </a:graphic>
          </wp:inline>
        </w:drawing>
      </w:r>
    </w:p>
    <w:p>
      <w:pPr>
        <w:spacing w:after="160"/>
        <w:jc w:val="center"/>
      </w:pPr>
      <w:r>
        <w:rPr>
          <w:rFonts w:ascii="Times New Roman" w:hAnsi="Times New Roman" w:eastAsia="Times New Roman" w:cs="Times New Roman"/>
          <w:b w:val="0"/>
          <w:i/>
          <w:sz w:val="16"/>
        </w:rPr>
        <w:t>Рис. 4. Корреляция ошибок для каждой пары базовых моделей — зелёным отмечена низкая связь (модели ошибаются в основном независимо), красным — высокая (модели чаще путаются вместе).</w:t>
      </w:r>
    </w:p>
    <w:p>
      <w:pPr>
        <w:spacing w:after="80" w:before="0"/>
      </w:pPr>
      <w:r>
        <w:rPr>
          <w:rFonts w:ascii="Times New Roman" w:hAnsi="Times New Roman" w:eastAsia="Times New Roman" w:cs="Times New Roman"/>
          <w:b w:val="0"/>
          <w:sz w:val="18"/>
        </w:rPr>
        <w:t>На проверочной выборке метод сопряжённости и свёрточная сеть показывают одинаковую точность (0.295), классический ML — немного ниже (0.267); порядок моделей по точности на независимом тесте (раздел 4.2) оказывается ДРУГИМ. Небольшой размер проверочной выборки (15 изображений на класс, раздел 3) даёт заметный разброс оценки точности от выборки к выборке — к абсолютным числам стоит относиться с этой поправкой.</w:t>
      </w:r>
    </w:p>
    <w:p>
      <w:pPr>
        <w:spacing w:after="80" w:before="0"/>
      </w:pPr>
      <w:r>
        <w:rPr>
          <w:rFonts w:ascii="Times New Roman" w:hAnsi="Times New Roman" w:eastAsia="Times New Roman" w:cs="Times New Roman"/>
          <w:b w:val="0"/>
          <w:sz w:val="18"/>
        </w:rPr>
        <w:t>Более информативна структура корреляции ошибок между парами моделей: ошибки метода сопряжённости и классического ML связаны слабее всего (0.176) — заметно слабее, чем связаны между собой ошибки классического ML и свёрточной сети (0.412). При этом ошибки метода сопряжённости и свёрточной сети связаны ПОЧТИ ТАК ЖЕ СИЛЬНО (0.405), как классический ML и свёрточная сеть между собой — то есть свойство «непохожих ошибок» у метода сопряжённости выражено ИЗБИРАТЕЛЬНО: ярко в паре с классическим ML, но почти незаметно в паре со свёрточной сетью. Это не отменяет теоретическую предпосылку пользы объединения (раздел 2.2) — модель с хотя бы частично непохожими ошибками способна добавить пользу, — но показывает, что эта предпосылка выполняется не универсально для любой пары моделей, а зависит от конкретного сочетания методов, и её стоит измерять явно, а не постулировать из одной лишь непохожести внутреннего устройства моделей.</w:t>
      </w:r>
    </w:p>
    <w:p>
      <w:pPr>
        <w:spacing w:after="80" w:before="0"/>
      </w:pPr>
      <w:r>
        <w:rPr>
          <w:rFonts w:ascii="Times New Roman" w:hAnsi="Times New Roman" w:eastAsia="Times New Roman" w:cs="Times New Roman"/>
          <w:b w:val="0"/>
          <w:sz w:val="18"/>
        </w:rPr>
        <w:t>Потенциал ансамбля (доля объектов, где ошибается ровно одна модель) — 13.3%; жёсткий потолок (ошибаются все три) — 48.6% — на этой трудной семиклассовой задаче с небольшой обучающей выборкой значительная доля объектов проверочной выборки не распознаёт верно ни одна из трёх моделей; точность «оракула» (права хотя бы одна модель) — 51.4%. Это верхняя граница, к которой в лучшем случае может приблизиться любая схема объединения — реальный результат (раздел 4.2) неизбежно ниже, поскольку ни одна практическая схема не обладает «всеведением» оракула.</w:t>
      </w:r>
    </w:p>
    <w:p>
      <w:pPr>
        <w:spacing w:before="160" w:after="80"/>
      </w:pPr>
      <w:r>
        <w:rPr>
          <w:rFonts w:ascii="Times New Roman" w:hAnsi="Times New Roman" w:eastAsia="Times New Roman" w:cs="Times New Roman"/>
          <w:b/>
          <w:sz w:val="22"/>
        </w:rPr>
        <w:t>4.2. Итоговое сравнение на тестовой выборке</w:t>
      </w:r>
    </w:p>
    <w:p>
      <w:pPr>
        <w:spacing w:after="80" w:before="0"/>
      </w:pPr>
      <w:r>
        <w:rPr>
          <w:rFonts w:ascii="Times New Roman" w:hAnsi="Times New Roman" w:eastAsia="Times New Roman" w:cs="Times New Roman"/>
          <w:b w:val="0"/>
          <w:sz w:val="18"/>
        </w:rPr>
        <w:t>Тестовая выборка построена поровну по всем семи классам (раздел 3) — поэтому обычная (общая) точность и средняя по классам точность здесь совпадают тождественно, и для сравнения моделей достаточно одной величины.</w:t>
      </w:r>
    </w:p>
    <w:p>
      <w:pPr>
        <w:spacing w:after="60"/>
        <w:jc w:val="center"/>
      </w:pPr>
      <w:r>
        <w:drawing>
          <wp:inline xmlns:a="http://schemas.openxmlformats.org/drawingml/2006/main" xmlns:pic="http://schemas.openxmlformats.org/drawingml/2006/picture">
            <wp:extent cx="5760720" cy="2630711"/>
            <wp:docPr id="6" name="Picture 6"/>
            <wp:cNvGraphicFramePr>
              <a:graphicFrameLocks noChangeAspect="1"/>
            </wp:cNvGraphicFramePr>
            <a:graphic>
              <a:graphicData uri="http://schemas.openxmlformats.org/drawingml/2006/picture">
                <pic:pic>
                  <pic:nvPicPr>
                    <pic:cNvPr id="0" name="tmpbes0re8n.png"/>
                    <pic:cNvPicPr/>
                  </pic:nvPicPr>
                  <pic:blipFill>
                    <a:blip r:embed="rId14"/>
                    <a:stretch>
                      <a:fillRect/>
                    </a:stretch>
                  </pic:blipFill>
                  <pic:spPr>
                    <a:xfrm>
                      <a:off x="0" y="0"/>
                      <a:ext cx="5760720" cy="2630711"/>
                    </a:xfrm>
                    <a:prstGeom prst="rect"/>
                  </pic:spPr>
                </pic:pic>
              </a:graphicData>
            </a:graphic>
          </wp:inline>
        </w:drawing>
      </w:r>
    </w:p>
    <w:p>
      <w:pPr>
        <w:spacing w:after="160"/>
        <w:jc w:val="center"/>
      </w:pPr>
      <w:r>
        <w:rPr>
          <w:rFonts w:ascii="Times New Roman" w:hAnsi="Times New Roman" w:eastAsia="Times New Roman" w:cs="Times New Roman"/>
          <w:b w:val="0"/>
          <w:i/>
          <w:sz w:val="16"/>
        </w:rPr>
        <w:t>Рис. 5. Точность на тестовой выборке — три базовые модели (серые столбцы) слева от вертикальной линии, четыре схемы объединения (синие столбцы) справа.</w:t>
      </w:r>
    </w:p>
    <w:tbl>
      <w:tblPr>
        <w:tblStyle w:val="TableGrid"/>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eastAsia="Times New Roman" w:cs="Times New Roman"/>
                <w:b w:val="0"/>
                <w:sz w:val="16"/>
              </w:rPr>
              <w:t>Модель</w:t>
            </w:r>
          </w:p>
        </w:tc>
        <w:tc>
          <w:tcPr>
            <w:tcW w:type="dxa" w:w="3307"/>
          </w:tcPr>
          <w:p>
            <w:r>
              <w:rPr>
                <w:rFonts w:ascii="Times New Roman" w:hAnsi="Times New Roman" w:eastAsia="Times New Roman" w:cs="Times New Roman"/>
                <w:b w:val="0"/>
                <w:sz w:val="16"/>
              </w:rPr>
              <w:t>Точность</w:t>
            </w:r>
          </w:p>
        </w:tc>
        <w:tc>
          <w:tcPr>
            <w:tcW w:type="dxa" w:w="3307"/>
          </w:tcPr>
          <w:p>
            <w:r>
              <w:rPr>
                <w:rFonts w:ascii="Times New Roman" w:hAnsi="Times New Roman" w:eastAsia="Times New Roman" w:cs="Times New Roman"/>
                <w:b w:val="0"/>
                <w:sz w:val="16"/>
              </w:rPr>
              <w:t>Время предсказания, с</w:t>
            </w:r>
          </w:p>
        </w:tc>
      </w:tr>
      <w:tr>
        <w:tc>
          <w:tcPr>
            <w:tcW w:type="dxa" w:w="3307"/>
          </w:tcPr>
          <w:p>
            <w:r>
              <w:rPr>
                <w:rFonts w:ascii="Times New Roman" w:hAnsi="Times New Roman" w:eastAsia="Times New Roman" w:cs="Times New Roman"/>
                <w:b w:val="0"/>
                <w:sz w:val="16"/>
              </w:rPr>
              <w:t>Метод сопряжённости</w:t>
            </w:r>
          </w:p>
        </w:tc>
        <w:tc>
          <w:tcPr>
            <w:tcW w:type="dxa" w:w="3307"/>
          </w:tcPr>
          <w:p>
            <w:r>
              <w:rPr>
                <w:rFonts w:ascii="Times New Roman" w:hAnsi="Times New Roman" w:eastAsia="Times New Roman" w:cs="Times New Roman"/>
                <w:b w:val="0"/>
                <w:sz w:val="16"/>
              </w:rPr>
              <w:t>0.3714</w:t>
            </w:r>
          </w:p>
        </w:tc>
        <w:tc>
          <w:tcPr>
            <w:tcW w:type="dxa" w:w="3307"/>
          </w:tcPr>
          <w:p>
            <w:r>
              <w:rPr>
                <w:rFonts w:ascii="Times New Roman" w:hAnsi="Times New Roman" w:eastAsia="Times New Roman" w:cs="Times New Roman"/>
                <w:b w:val="0"/>
                <w:sz w:val="16"/>
              </w:rPr>
              <w:t>1.283</w:t>
            </w:r>
          </w:p>
        </w:tc>
      </w:tr>
      <w:tr>
        <w:tc>
          <w:tcPr>
            <w:tcW w:type="dxa" w:w="3307"/>
          </w:tcPr>
          <w:p>
            <w:r>
              <w:rPr>
                <w:rFonts w:ascii="Times New Roman" w:hAnsi="Times New Roman" w:eastAsia="Times New Roman" w:cs="Times New Roman"/>
                <w:b w:val="0"/>
                <w:sz w:val="16"/>
              </w:rPr>
              <w:t>Классический ML</w:t>
            </w:r>
          </w:p>
        </w:tc>
        <w:tc>
          <w:tcPr>
            <w:tcW w:type="dxa" w:w="3307"/>
          </w:tcPr>
          <w:p>
            <w:r>
              <w:rPr>
                <w:rFonts w:ascii="Times New Roman" w:hAnsi="Times New Roman" w:eastAsia="Times New Roman" w:cs="Times New Roman"/>
                <w:b w:val="0"/>
                <w:sz w:val="16"/>
              </w:rPr>
              <w:t>0.3857</w:t>
            </w:r>
          </w:p>
        </w:tc>
        <w:tc>
          <w:tcPr>
            <w:tcW w:type="dxa" w:w="3307"/>
          </w:tcPr>
          <w:p>
            <w:r>
              <w:rPr>
                <w:rFonts w:ascii="Times New Roman" w:hAnsi="Times New Roman" w:eastAsia="Times New Roman" w:cs="Times New Roman"/>
                <w:b w:val="0"/>
                <w:sz w:val="16"/>
              </w:rPr>
              <w:t>0.034</w:t>
            </w:r>
          </w:p>
        </w:tc>
      </w:tr>
      <w:tr>
        <w:tc>
          <w:tcPr>
            <w:tcW w:type="dxa" w:w="3307"/>
          </w:tcPr>
          <w:p>
            <w:r>
              <w:rPr>
                <w:rFonts w:ascii="Times New Roman" w:hAnsi="Times New Roman" w:eastAsia="Times New Roman" w:cs="Times New Roman"/>
                <w:b w:val="0"/>
                <w:sz w:val="16"/>
              </w:rPr>
              <w:t>Свёрточная сеть</w:t>
            </w:r>
          </w:p>
        </w:tc>
        <w:tc>
          <w:tcPr>
            <w:tcW w:type="dxa" w:w="3307"/>
          </w:tcPr>
          <w:p>
            <w:r>
              <w:rPr>
                <w:rFonts w:ascii="Times New Roman" w:hAnsi="Times New Roman" w:eastAsia="Times New Roman" w:cs="Times New Roman"/>
                <w:b w:val="0"/>
                <w:sz w:val="16"/>
              </w:rPr>
              <w:t>0.3571</w:t>
            </w:r>
          </w:p>
        </w:tc>
        <w:tc>
          <w:tcPr>
            <w:tcW w:type="dxa" w:w="3307"/>
          </w:tcPr>
          <w:p>
            <w:r>
              <w:rPr>
                <w:rFonts w:ascii="Times New Roman" w:hAnsi="Times New Roman" w:eastAsia="Times New Roman" w:cs="Times New Roman"/>
                <w:b w:val="0"/>
                <w:sz w:val="16"/>
              </w:rPr>
              <w:t>0.090</w:t>
            </w:r>
          </w:p>
        </w:tc>
      </w:tr>
      <w:tr>
        <w:tc>
          <w:tcPr>
            <w:tcW w:type="dxa" w:w="3307"/>
          </w:tcPr>
          <w:p>
            <w:r>
              <w:rPr>
                <w:rFonts w:ascii="Times New Roman" w:hAnsi="Times New Roman" w:eastAsia="Times New Roman" w:cs="Times New Roman"/>
                <w:b w:val="0"/>
                <w:sz w:val="16"/>
              </w:rPr>
              <w:t>Голосование</w:t>
            </w:r>
          </w:p>
        </w:tc>
        <w:tc>
          <w:tcPr>
            <w:tcW w:type="dxa" w:w="3307"/>
          </w:tcPr>
          <w:p>
            <w:r>
              <w:rPr>
                <w:rFonts w:ascii="Times New Roman" w:hAnsi="Times New Roman" w:eastAsia="Times New Roman" w:cs="Times New Roman"/>
                <w:b w:val="0"/>
                <w:sz w:val="16"/>
              </w:rPr>
              <w:t>0.3952</w:t>
            </w:r>
          </w:p>
        </w:tc>
        <w:tc>
          <w:tcPr>
            <w:tcW w:type="dxa" w:w="3307"/>
          </w:tcPr>
          <w:p>
            <w:r>
              <w:rPr>
                <w:rFonts w:ascii="Times New Roman" w:hAnsi="Times New Roman" w:eastAsia="Times New Roman" w:cs="Times New Roman"/>
                <w:b w:val="0"/>
                <w:sz w:val="16"/>
              </w:rPr>
              <w:t>1.406</w:t>
            </w:r>
          </w:p>
        </w:tc>
      </w:tr>
      <w:tr>
        <w:tc>
          <w:tcPr>
            <w:tcW w:type="dxa" w:w="3307"/>
          </w:tcPr>
          <w:p>
            <w:r>
              <w:rPr>
                <w:rFonts w:ascii="Times New Roman" w:hAnsi="Times New Roman" w:eastAsia="Times New Roman" w:cs="Times New Roman"/>
                <w:b w:val="0"/>
                <w:sz w:val="16"/>
              </w:rPr>
              <w:t>Стекинг (обычный)</w:t>
            </w:r>
          </w:p>
        </w:tc>
        <w:tc>
          <w:tcPr>
            <w:tcW w:type="dxa" w:w="3307"/>
          </w:tcPr>
          <w:p>
            <w:r>
              <w:rPr>
                <w:rFonts w:ascii="Times New Roman" w:hAnsi="Times New Roman" w:eastAsia="Times New Roman" w:cs="Times New Roman"/>
                <w:b w:val="0"/>
                <w:sz w:val="16"/>
              </w:rPr>
              <w:t>0.3667</w:t>
            </w:r>
          </w:p>
        </w:tc>
        <w:tc>
          <w:tcPr>
            <w:tcW w:type="dxa" w:w="3307"/>
          </w:tcPr>
          <w:p>
            <w:r>
              <w:rPr>
                <w:rFonts w:ascii="Times New Roman" w:hAnsi="Times New Roman" w:eastAsia="Times New Roman" w:cs="Times New Roman"/>
                <w:b w:val="0"/>
                <w:sz w:val="16"/>
              </w:rPr>
              <w:t>1.441</w:t>
            </w:r>
          </w:p>
        </w:tc>
      </w:tr>
      <w:tr>
        <w:tc>
          <w:tcPr>
            <w:tcW w:type="dxa" w:w="3307"/>
          </w:tcPr>
          <w:p>
            <w:r>
              <w:rPr>
                <w:rFonts w:ascii="Times New Roman" w:hAnsi="Times New Roman" w:eastAsia="Times New Roman" w:cs="Times New Roman"/>
                <w:b w:val="0"/>
                <w:sz w:val="16"/>
              </w:rPr>
              <w:t>Стекинг (со взвешиванием)</w:t>
            </w:r>
          </w:p>
        </w:tc>
        <w:tc>
          <w:tcPr>
            <w:tcW w:type="dxa" w:w="3307"/>
          </w:tcPr>
          <w:p>
            <w:r>
              <w:rPr>
                <w:rFonts w:ascii="Times New Roman" w:hAnsi="Times New Roman" w:eastAsia="Times New Roman" w:cs="Times New Roman"/>
                <w:b w:val="0"/>
                <w:sz w:val="16"/>
              </w:rPr>
              <w:t>0.3667</w:t>
            </w:r>
          </w:p>
        </w:tc>
        <w:tc>
          <w:tcPr>
            <w:tcW w:type="dxa" w:w="3307"/>
          </w:tcPr>
          <w:p>
            <w:r>
              <w:rPr>
                <w:rFonts w:ascii="Times New Roman" w:hAnsi="Times New Roman" w:eastAsia="Times New Roman" w:cs="Times New Roman"/>
                <w:b w:val="0"/>
                <w:sz w:val="16"/>
              </w:rPr>
              <w:t>1.426</w:t>
            </w:r>
          </w:p>
        </w:tc>
      </w:tr>
      <w:tr>
        <w:tc>
          <w:tcPr>
            <w:tcW w:type="dxa" w:w="3307"/>
          </w:tcPr>
          <w:p>
            <w:r>
              <w:rPr>
                <w:rFonts w:ascii="Times New Roman" w:hAnsi="Times New Roman" w:eastAsia="Times New Roman" w:cs="Times New Roman"/>
                <w:b w:val="0"/>
                <w:sz w:val="16"/>
              </w:rPr>
              <w:t>Переключение</w:t>
            </w:r>
          </w:p>
        </w:tc>
        <w:tc>
          <w:tcPr>
            <w:tcW w:type="dxa" w:w="3307"/>
          </w:tcPr>
          <w:p>
            <w:r>
              <w:rPr>
                <w:rFonts w:ascii="Times New Roman" w:hAnsi="Times New Roman" w:eastAsia="Times New Roman" w:cs="Times New Roman"/>
                <w:b w:val="0"/>
                <w:sz w:val="16"/>
              </w:rPr>
              <w:t>0.3333</w:t>
            </w:r>
          </w:p>
        </w:tc>
        <w:tc>
          <w:tcPr>
            <w:tcW w:type="dxa" w:w="3307"/>
          </w:tcPr>
          <w:p>
            <w:r>
              <w:rPr>
                <w:rFonts w:ascii="Times New Roman" w:hAnsi="Times New Roman" w:eastAsia="Times New Roman" w:cs="Times New Roman"/>
                <w:b w:val="0"/>
                <w:sz w:val="16"/>
              </w:rPr>
              <w:t>1.423</w:t>
            </w:r>
          </w:p>
        </w:tc>
      </w:tr>
    </w:tbl>
    <w:p/>
    <w:p>
      <w:pPr>
        <w:spacing w:after="80" w:before="0"/>
      </w:pPr>
      <w:r>
        <w:rPr>
          <w:rFonts w:ascii="Times New Roman" w:hAnsi="Times New Roman" w:eastAsia="Times New Roman" w:cs="Times New Roman"/>
          <w:b w:val="0"/>
          <w:sz w:val="18"/>
        </w:rPr>
        <w:t>Лучшая одиночная модель — «Классический ML» (0.3857). Лучшая схема объединения — «Голосование» (0.3952) — она превосходит лучшую одиночную модель на 1.0%. Выигрыш небольшой, но реальный: тестовая выборка ни разу не участвовала в настройке ни одной из моделей или схем объединения — это единственная проверка на полностью независимых данных.</w:t>
      </w:r>
    </w:p>
    <w:p>
      <w:pPr>
        <w:spacing w:before="100" w:after="80"/>
      </w:pPr>
      <w:r>
        <w:rPr>
          <w:rFonts w:ascii="Times New Roman" w:hAnsi="Times New Roman" w:eastAsia="Times New Roman" w:cs="Times New Roman"/>
          <w:b/>
          <w:sz w:val="20"/>
        </w:rPr>
        <w:t>Найденная и исправленная методологическая ошибка</w:t>
      </w:r>
    </w:p>
    <w:p>
      <w:pPr>
        <w:spacing w:after="80" w:before="0"/>
      </w:pPr>
      <w:r>
        <w:rPr>
          <w:rFonts w:ascii="Times New Roman" w:hAnsi="Times New Roman" w:eastAsia="Times New Roman" w:cs="Times New Roman"/>
          <w:b w:val="0"/>
          <w:sz w:val="18"/>
        </w:rPr>
        <w:t>При подготовке этого эксперимента совместно с первой статьёй цикла («Итерационное наращивание опорных подпространств в методе сопряжённости») была обнаружена и устранена методологическая ошибка ТОЙ ЖЕ ПРИРОДЫ, что и там. Библиотека предоставляет режим «автоматическое равнение» для метода сопряжённости: каждый класс сначала растится без ограничения на число опорных векторов, а затем ВСЕ построенные подпространства (в этом эксперименте — 4 подпространства на класс x 7 классов = 28) приводятся к ОДНОЙ общей минимальной размерности, чтобы сравнение между классами было честным. Из-за неравномерности пошагового построения (см. отчёт по первой статье, раздел 2.2) хотя бы ОДНО из этих подпространств почти всегда останавливается всего на 2 опорных векторах — и это единственное подпространство задавало общий минимум для всех остальных сразу. В первой версии этого эксперимента метод сопряжённости из-за этого показывал точность всего 0,219 — заметно хуже классического ML и свёрточной сети, что выглядело как убедительное качественное различие между методами.</w:t>
      </w:r>
    </w:p>
    <w:p>
      <w:pPr>
        <w:spacing w:after="80" w:before="0"/>
      </w:pPr>
      <w:r>
        <w:rPr>
          <w:rFonts w:ascii="Times New Roman" w:hAnsi="Times New Roman" w:eastAsia="Times New Roman" w:cs="Times New Roman"/>
          <w:b w:val="0"/>
          <w:sz w:val="18"/>
        </w:rPr>
        <w:t>После исправления (каждое подпространство участвует в классификации со своим РЕАЛЬНО построенным числом опорных векторов, без принудительного равнения) точность метода сопряжённости на тестовой выборке выросла до 0.3714 — он стал сопоставим с двумя другими моделями, а не является безусловно самым слабым. Последствия для схем объединения оказались НЕ ОДНОЗНАЧНЫМИ: точность голосования и обоих вариантов стекинга не изменилась вовсе, несмотря на заметно улучшенные вероятности метода сопряжённости — на этой конкретной тестовой выборке улучшенный сигнал не сдвинул ни одного итогового решения голосования или стекинга. А точность селективного переключения, наоборот, СНИЗИЛАСЬ (раздел 4.3) — после исправления метод сопряжённости стал побеждать на проверочной выборке чаще, но для части этих классов такое превосходство не подтвердилось на независимом тесте. Это честная иллюстрация риска, присущего самому методу селективного переключения: выбор чемпиона класса по небольшой проверочной выборке (15 изображений на класс, раздел 3) может не обобщаться на новые данные так же надёжно, как усреднение вероятностей при голосовании.</w:t>
      </w:r>
    </w:p>
    <w:p>
      <w:pPr>
        <w:spacing w:before="100" w:after="80"/>
      </w:pPr>
      <w:r>
        <w:rPr>
          <w:rFonts w:ascii="Times New Roman" w:hAnsi="Times New Roman" w:eastAsia="Times New Roman" w:cs="Times New Roman"/>
          <w:b/>
          <w:sz w:val="20"/>
        </w:rPr>
        <w:t>Проверка: важна ли поправка на дисбаланс классов при стекинге</w:t>
      </w:r>
    </w:p>
    <w:p>
      <w:pPr>
        <w:spacing w:after="80" w:before="0"/>
      </w:pPr>
      <w:r>
        <w:rPr>
          <w:rFonts w:ascii="Times New Roman" w:hAnsi="Times New Roman" w:eastAsia="Times New Roman" w:cs="Times New Roman"/>
          <w:b w:val="0"/>
          <w:sz w:val="18"/>
        </w:rPr>
        <w:t>Обычный стекинг даёт точность 0.3667; та же схема с надстроечной моделью, взвешивающей классы обратно пропорционально их частоте (раздел 2.3), — 0.3667. Значения СОВПАДАЮТ — и это ожидаемый, а не случайный результат: надстроечная модель стекинга обучается на проверочной выборке (раздел 3), которая, как и обучающая, построена РОВНО ПОРОВНУ по всем классам — поправка на дисбаланс не может дать эффекта там, где дисбаланса, который нужно исправлять, попросту нет. Такая проверка — полезный методологический контроль: если бы значения разошлись при заведомо сбалансированных данных, это указывало бы на ошибку в реализации, а не на содержательный эффект.</w:t>
      </w:r>
    </w:p>
    <w:p>
      <w:pPr>
        <w:spacing w:before="160" w:after="80"/>
      </w:pPr>
      <w:r>
        <w:rPr>
          <w:rFonts w:ascii="Times New Roman" w:hAnsi="Times New Roman" w:eastAsia="Times New Roman" w:cs="Times New Roman"/>
          <w:b/>
          <w:sz w:val="22"/>
        </w:rPr>
        <w:t>4.3. Устраняет ли объединение слабость метода сопряжённости</w:t>
      </w:r>
    </w:p>
    <w:p>
      <w:pPr>
        <w:spacing w:after="80" w:before="0"/>
      </w:pPr>
      <w:r>
        <w:rPr>
          <w:rFonts w:ascii="Times New Roman" w:hAnsi="Times New Roman" w:eastAsia="Times New Roman" w:cs="Times New Roman"/>
          <w:b w:val="0"/>
          <w:sz w:val="18"/>
        </w:rPr>
        <w:t>Слабее всего метод сопряжённости на тестовой выборке распознаёт класс «актинический кератоз» (полнота 0.100). Задача — проверить, снимает ли объединение с другими моделями именно эту слабость, а не только повышает точность в среднем.</w:t>
      </w:r>
    </w:p>
    <w:tbl>
      <w:tblPr>
        <w:tblStyle w:val="TableGrid"/>
        <w:tblW w:type="auto" w:w="0"/>
        <w:tblLook w:firstColumn="1" w:firstRow="1" w:lastColumn="0" w:lastRow="0" w:noHBand="0" w:noVBand="1" w:val="04A0"/>
      </w:tblPr>
      <w:tblGrid>
        <w:gridCol w:w="4961"/>
        <w:gridCol w:w="4961"/>
      </w:tblGrid>
      <w:tr>
        <w:tc>
          <w:tcPr>
            <w:tcW w:type="dxa" w:w="4961"/>
          </w:tcPr>
          <w:p>
            <w:r>
              <w:rPr>
                <w:rFonts w:ascii="Times New Roman" w:hAnsi="Times New Roman" w:eastAsia="Times New Roman" w:cs="Times New Roman"/>
                <w:b w:val="0"/>
                <w:sz w:val="16"/>
              </w:rPr>
              <w:t>Модель</w:t>
            </w:r>
          </w:p>
        </w:tc>
        <w:tc>
          <w:tcPr>
            <w:tcW w:type="dxa" w:w="4961"/>
          </w:tcPr>
          <w:p>
            <w:r>
              <w:rPr>
                <w:rFonts w:ascii="Times New Roman" w:hAnsi="Times New Roman" w:eastAsia="Times New Roman" w:cs="Times New Roman"/>
                <w:b w:val="0"/>
                <w:sz w:val="16"/>
              </w:rPr>
              <w:t>Полнота на классе «актинический кератоз»</w:t>
            </w:r>
          </w:p>
        </w:tc>
      </w:tr>
      <w:tr>
        <w:tc>
          <w:tcPr>
            <w:tcW w:type="dxa" w:w="4961"/>
          </w:tcPr>
          <w:p>
            <w:r>
              <w:rPr>
                <w:rFonts w:ascii="Times New Roman" w:hAnsi="Times New Roman" w:eastAsia="Times New Roman" w:cs="Times New Roman"/>
                <w:b w:val="0"/>
                <w:sz w:val="16"/>
              </w:rPr>
              <w:t>Метод сопряжённости</w:t>
            </w:r>
          </w:p>
        </w:tc>
        <w:tc>
          <w:tcPr>
            <w:tcW w:type="dxa" w:w="4961"/>
          </w:tcPr>
          <w:p>
            <w:r>
              <w:rPr>
                <w:rFonts w:ascii="Times New Roman" w:hAnsi="Times New Roman" w:eastAsia="Times New Roman" w:cs="Times New Roman"/>
                <w:b w:val="0"/>
                <w:sz w:val="16"/>
              </w:rPr>
              <w:t>0.100</w:t>
            </w:r>
          </w:p>
        </w:tc>
      </w:tr>
      <w:tr>
        <w:tc>
          <w:tcPr>
            <w:tcW w:type="dxa" w:w="4961"/>
          </w:tcPr>
          <w:p>
            <w:r>
              <w:rPr>
                <w:rFonts w:ascii="Times New Roman" w:hAnsi="Times New Roman" w:eastAsia="Times New Roman" w:cs="Times New Roman"/>
                <w:b w:val="0"/>
                <w:sz w:val="16"/>
              </w:rPr>
              <w:t>Классический ML</w:t>
            </w:r>
          </w:p>
        </w:tc>
        <w:tc>
          <w:tcPr>
            <w:tcW w:type="dxa" w:w="4961"/>
          </w:tcPr>
          <w:p>
            <w:r>
              <w:rPr>
                <w:rFonts w:ascii="Times New Roman" w:hAnsi="Times New Roman" w:eastAsia="Times New Roman" w:cs="Times New Roman"/>
                <w:b w:val="0"/>
                <w:sz w:val="16"/>
              </w:rPr>
              <w:t>0.267</w:t>
            </w:r>
          </w:p>
        </w:tc>
      </w:tr>
      <w:tr>
        <w:tc>
          <w:tcPr>
            <w:tcW w:type="dxa" w:w="4961"/>
          </w:tcPr>
          <w:p>
            <w:r>
              <w:rPr>
                <w:rFonts w:ascii="Times New Roman" w:hAnsi="Times New Roman" w:eastAsia="Times New Roman" w:cs="Times New Roman"/>
                <w:b w:val="0"/>
                <w:sz w:val="16"/>
              </w:rPr>
              <w:t>Свёрточная сеть</w:t>
            </w:r>
          </w:p>
        </w:tc>
        <w:tc>
          <w:tcPr>
            <w:tcW w:type="dxa" w:w="4961"/>
          </w:tcPr>
          <w:p>
            <w:r>
              <w:rPr>
                <w:rFonts w:ascii="Times New Roman" w:hAnsi="Times New Roman" w:eastAsia="Times New Roman" w:cs="Times New Roman"/>
                <w:b w:val="0"/>
                <w:sz w:val="16"/>
              </w:rPr>
              <w:t>0.133</w:t>
            </w:r>
          </w:p>
        </w:tc>
      </w:tr>
      <w:tr>
        <w:tc>
          <w:tcPr>
            <w:tcW w:type="dxa" w:w="4961"/>
          </w:tcPr>
          <w:p>
            <w:r>
              <w:rPr>
                <w:rFonts w:ascii="Times New Roman" w:hAnsi="Times New Roman" w:eastAsia="Times New Roman" w:cs="Times New Roman"/>
                <w:b w:val="0"/>
                <w:sz w:val="16"/>
              </w:rPr>
              <w:t>Голосование</w:t>
            </w:r>
          </w:p>
        </w:tc>
        <w:tc>
          <w:tcPr>
            <w:tcW w:type="dxa" w:w="4961"/>
          </w:tcPr>
          <w:p>
            <w:r>
              <w:rPr>
                <w:rFonts w:ascii="Times New Roman" w:hAnsi="Times New Roman" w:eastAsia="Times New Roman" w:cs="Times New Roman"/>
                <w:b w:val="0"/>
                <w:sz w:val="16"/>
              </w:rPr>
              <w:t>0.100</w:t>
            </w:r>
          </w:p>
        </w:tc>
      </w:tr>
      <w:tr>
        <w:tc>
          <w:tcPr>
            <w:tcW w:type="dxa" w:w="4961"/>
          </w:tcPr>
          <w:p>
            <w:r>
              <w:rPr>
                <w:rFonts w:ascii="Times New Roman" w:hAnsi="Times New Roman" w:eastAsia="Times New Roman" w:cs="Times New Roman"/>
                <w:b w:val="0"/>
                <w:sz w:val="16"/>
              </w:rPr>
              <w:t>Стекинг (обычный)</w:t>
            </w:r>
          </w:p>
        </w:tc>
        <w:tc>
          <w:tcPr>
            <w:tcW w:type="dxa" w:w="4961"/>
          </w:tcPr>
          <w:p>
            <w:r>
              <w:rPr>
                <w:rFonts w:ascii="Times New Roman" w:hAnsi="Times New Roman" w:eastAsia="Times New Roman" w:cs="Times New Roman"/>
                <w:b w:val="0"/>
                <w:sz w:val="16"/>
              </w:rPr>
              <w:t>0.267</w:t>
            </w:r>
          </w:p>
        </w:tc>
      </w:tr>
      <w:tr>
        <w:tc>
          <w:tcPr>
            <w:tcW w:type="dxa" w:w="4961"/>
          </w:tcPr>
          <w:p>
            <w:r>
              <w:rPr>
                <w:rFonts w:ascii="Times New Roman" w:hAnsi="Times New Roman" w:eastAsia="Times New Roman" w:cs="Times New Roman"/>
                <w:b w:val="0"/>
                <w:sz w:val="16"/>
              </w:rPr>
              <w:t>Стекинг (со взвешиванием)</w:t>
            </w:r>
          </w:p>
        </w:tc>
        <w:tc>
          <w:tcPr>
            <w:tcW w:type="dxa" w:w="4961"/>
          </w:tcPr>
          <w:p>
            <w:r>
              <w:rPr>
                <w:rFonts w:ascii="Times New Roman" w:hAnsi="Times New Roman" w:eastAsia="Times New Roman" w:cs="Times New Roman"/>
                <w:b w:val="0"/>
                <w:sz w:val="16"/>
              </w:rPr>
              <w:t>0.267</w:t>
            </w:r>
          </w:p>
        </w:tc>
      </w:tr>
      <w:tr>
        <w:tc>
          <w:tcPr>
            <w:tcW w:type="dxa" w:w="4961"/>
          </w:tcPr>
          <w:p>
            <w:r>
              <w:rPr>
                <w:rFonts w:ascii="Times New Roman" w:hAnsi="Times New Roman" w:eastAsia="Times New Roman" w:cs="Times New Roman"/>
                <w:b w:val="0"/>
                <w:sz w:val="16"/>
              </w:rPr>
              <w:t>Переключение</w:t>
            </w:r>
          </w:p>
        </w:tc>
        <w:tc>
          <w:tcPr>
            <w:tcW w:type="dxa" w:w="4961"/>
          </w:tcPr>
          <w:p>
            <w:r>
              <w:rPr>
                <w:rFonts w:ascii="Times New Roman" w:hAnsi="Times New Roman" w:eastAsia="Times New Roman" w:cs="Times New Roman"/>
                <w:b w:val="0"/>
                <w:sz w:val="16"/>
              </w:rPr>
              <w:t>0.067</w:t>
            </w:r>
          </w:p>
        </w:tc>
      </w:tr>
    </w:tbl>
    <w:p/>
    <w:p>
      <w:pPr>
        <w:spacing w:after="80" w:before="0"/>
      </w:pPr>
      <w:r>
        <w:rPr>
          <w:rFonts w:ascii="Times New Roman" w:hAnsi="Times New Roman" w:eastAsia="Times New Roman" w:cs="Times New Roman"/>
          <w:b w:val="0"/>
          <w:sz w:val="18"/>
        </w:rPr>
        <w:t>Показательная деталь: при селективном переключении чемпионом для класса «актинический кератоз» — того самого класса, где метод сопряжённости слабее всего на независимом тесте — по итогам проверочной выборки назначен САМ МЕТОД СОПРЯЖЁННОСТИ (полнота чемпиона на проверочной выборке — 0.133, лучшая среди трёх моделей именно там). На независимом тесте это решение не подтвердилось — конкретный, а не гипотетический пример того, что выбор чемпиона по небольшой проверочной выборке (раздел 3: 15 изображений на класс) не гарантирует такого же преимущества на новых данных.</w:t>
      </w:r>
    </w:p>
    <w:p>
      <w:pPr>
        <w:spacing w:after="80" w:before="0"/>
      </w:pPr>
      <w:r>
        <w:rPr>
          <w:rFonts w:ascii="Times New Roman" w:hAnsi="Times New Roman" w:eastAsia="Times New Roman" w:cs="Times New Roman"/>
          <w:b w:val="0"/>
          <w:sz w:val="18"/>
        </w:rPr>
        <w:t>Полный список «чемпионов» по всем семи классам (какая модель отвечает за каждый класс в схеме селективного переключения):</w:t>
      </w:r>
    </w:p>
    <w:tbl>
      <w:tblPr>
        <w:tblStyle w:val="TableGrid"/>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eastAsia="Times New Roman" w:cs="Times New Roman"/>
                <w:b w:val="0"/>
                <w:sz w:val="16"/>
              </w:rPr>
              <w:t>Класс</w:t>
            </w:r>
          </w:p>
        </w:tc>
        <w:tc>
          <w:tcPr>
            <w:tcW w:type="dxa" w:w="3307"/>
          </w:tcPr>
          <w:p>
            <w:r>
              <w:rPr>
                <w:rFonts w:ascii="Times New Roman" w:hAnsi="Times New Roman" w:eastAsia="Times New Roman" w:cs="Times New Roman"/>
                <w:b w:val="0"/>
                <w:sz w:val="16"/>
              </w:rPr>
              <w:t>Модель-чемпион</w:t>
            </w:r>
          </w:p>
        </w:tc>
        <w:tc>
          <w:tcPr>
            <w:tcW w:type="dxa" w:w="3307"/>
          </w:tcPr>
          <w:p>
            <w:r>
              <w:rPr>
                <w:rFonts w:ascii="Times New Roman" w:hAnsi="Times New Roman" w:eastAsia="Times New Roman" w:cs="Times New Roman"/>
                <w:b w:val="0"/>
                <w:sz w:val="16"/>
              </w:rPr>
              <w:t>Полнота чемпиона на проверочной выборке</w:t>
            </w:r>
          </w:p>
        </w:tc>
      </w:tr>
      <w:tr>
        <w:tc>
          <w:tcPr>
            <w:tcW w:type="dxa" w:w="3307"/>
          </w:tcPr>
          <w:p>
            <w:r>
              <w:rPr>
                <w:rFonts w:ascii="Times New Roman" w:hAnsi="Times New Roman" w:eastAsia="Times New Roman" w:cs="Times New Roman"/>
                <w:b w:val="0"/>
                <w:sz w:val="16"/>
              </w:rPr>
              <w:t>актинический кератоз</w:t>
            </w:r>
          </w:p>
        </w:tc>
        <w:tc>
          <w:tcPr>
            <w:tcW w:type="dxa" w:w="3307"/>
          </w:tcPr>
          <w:p>
            <w:r>
              <w:rPr>
                <w:rFonts w:ascii="Times New Roman" w:hAnsi="Times New Roman" w:eastAsia="Times New Roman" w:cs="Times New Roman"/>
                <w:b w:val="0"/>
                <w:sz w:val="16"/>
              </w:rPr>
              <w:t>Метод сопряжённости</w:t>
            </w:r>
          </w:p>
        </w:tc>
        <w:tc>
          <w:tcPr>
            <w:tcW w:type="dxa" w:w="3307"/>
          </w:tcPr>
          <w:p>
            <w:r>
              <w:rPr>
                <w:rFonts w:ascii="Times New Roman" w:hAnsi="Times New Roman" w:eastAsia="Times New Roman" w:cs="Times New Roman"/>
                <w:b w:val="0"/>
                <w:sz w:val="16"/>
              </w:rPr>
              <w:t>0.133</w:t>
            </w:r>
          </w:p>
        </w:tc>
      </w:tr>
      <w:tr>
        <w:tc>
          <w:tcPr>
            <w:tcW w:type="dxa" w:w="3307"/>
          </w:tcPr>
          <w:p>
            <w:r>
              <w:rPr>
                <w:rFonts w:ascii="Times New Roman" w:hAnsi="Times New Roman" w:eastAsia="Times New Roman" w:cs="Times New Roman"/>
                <w:b w:val="0"/>
                <w:sz w:val="16"/>
              </w:rPr>
              <w:t>базальноклеточный рак</w:t>
            </w:r>
          </w:p>
        </w:tc>
        <w:tc>
          <w:tcPr>
            <w:tcW w:type="dxa" w:w="3307"/>
          </w:tcPr>
          <w:p>
            <w:r>
              <w:rPr>
                <w:rFonts w:ascii="Times New Roman" w:hAnsi="Times New Roman" w:eastAsia="Times New Roman" w:cs="Times New Roman"/>
                <w:b w:val="0"/>
                <w:sz w:val="16"/>
              </w:rPr>
              <w:t>Метод сопряжённости</w:t>
            </w:r>
          </w:p>
        </w:tc>
        <w:tc>
          <w:tcPr>
            <w:tcW w:type="dxa" w:w="3307"/>
          </w:tcPr>
          <w:p>
            <w:r>
              <w:rPr>
                <w:rFonts w:ascii="Times New Roman" w:hAnsi="Times New Roman" w:eastAsia="Times New Roman" w:cs="Times New Roman"/>
                <w:b w:val="0"/>
                <w:sz w:val="16"/>
              </w:rPr>
              <w:t>0.200</w:t>
            </w:r>
          </w:p>
        </w:tc>
      </w:tr>
      <w:tr>
        <w:tc>
          <w:tcPr>
            <w:tcW w:type="dxa" w:w="3307"/>
          </w:tcPr>
          <w:p>
            <w:r>
              <w:rPr>
                <w:rFonts w:ascii="Times New Roman" w:hAnsi="Times New Roman" w:eastAsia="Times New Roman" w:cs="Times New Roman"/>
                <w:b w:val="0"/>
                <w:sz w:val="16"/>
              </w:rPr>
              <w:t>доброкачественный кератоз</w:t>
            </w:r>
          </w:p>
        </w:tc>
        <w:tc>
          <w:tcPr>
            <w:tcW w:type="dxa" w:w="3307"/>
          </w:tcPr>
          <w:p>
            <w:r>
              <w:rPr>
                <w:rFonts w:ascii="Times New Roman" w:hAnsi="Times New Roman" w:eastAsia="Times New Roman" w:cs="Times New Roman"/>
                <w:b w:val="0"/>
                <w:sz w:val="16"/>
              </w:rPr>
              <w:t>Классический ML</w:t>
            </w:r>
          </w:p>
        </w:tc>
        <w:tc>
          <w:tcPr>
            <w:tcW w:type="dxa" w:w="3307"/>
          </w:tcPr>
          <w:p>
            <w:r>
              <w:rPr>
                <w:rFonts w:ascii="Times New Roman" w:hAnsi="Times New Roman" w:eastAsia="Times New Roman" w:cs="Times New Roman"/>
                <w:b w:val="0"/>
                <w:sz w:val="16"/>
              </w:rPr>
              <w:t>0.267</w:t>
            </w:r>
          </w:p>
        </w:tc>
      </w:tr>
      <w:tr>
        <w:tc>
          <w:tcPr>
            <w:tcW w:type="dxa" w:w="3307"/>
          </w:tcPr>
          <w:p>
            <w:r>
              <w:rPr>
                <w:rFonts w:ascii="Times New Roman" w:hAnsi="Times New Roman" w:eastAsia="Times New Roman" w:cs="Times New Roman"/>
                <w:b w:val="0"/>
                <w:sz w:val="16"/>
              </w:rPr>
              <w:t>дерматофиброма</w:t>
            </w:r>
          </w:p>
        </w:tc>
        <w:tc>
          <w:tcPr>
            <w:tcW w:type="dxa" w:w="3307"/>
          </w:tcPr>
          <w:p>
            <w:r>
              <w:rPr>
                <w:rFonts w:ascii="Times New Roman" w:hAnsi="Times New Roman" w:eastAsia="Times New Roman" w:cs="Times New Roman"/>
                <w:b w:val="0"/>
                <w:sz w:val="16"/>
              </w:rPr>
              <w:t>Свёрточная сеть</w:t>
            </w:r>
          </w:p>
        </w:tc>
        <w:tc>
          <w:tcPr>
            <w:tcW w:type="dxa" w:w="3307"/>
          </w:tcPr>
          <w:p>
            <w:r>
              <w:rPr>
                <w:rFonts w:ascii="Times New Roman" w:hAnsi="Times New Roman" w:eastAsia="Times New Roman" w:cs="Times New Roman"/>
                <w:b w:val="0"/>
                <w:sz w:val="16"/>
              </w:rPr>
              <w:t>0.467</w:t>
            </w:r>
          </w:p>
        </w:tc>
      </w:tr>
      <w:tr>
        <w:tc>
          <w:tcPr>
            <w:tcW w:type="dxa" w:w="3307"/>
          </w:tcPr>
          <w:p>
            <w:r>
              <w:rPr>
                <w:rFonts w:ascii="Times New Roman" w:hAnsi="Times New Roman" w:eastAsia="Times New Roman" w:cs="Times New Roman"/>
                <w:b w:val="0"/>
                <w:sz w:val="16"/>
              </w:rPr>
              <w:t>меланома</w:t>
            </w:r>
          </w:p>
        </w:tc>
        <w:tc>
          <w:tcPr>
            <w:tcW w:type="dxa" w:w="3307"/>
          </w:tcPr>
          <w:p>
            <w:r>
              <w:rPr>
                <w:rFonts w:ascii="Times New Roman" w:hAnsi="Times New Roman" w:eastAsia="Times New Roman" w:cs="Times New Roman"/>
                <w:b w:val="0"/>
                <w:sz w:val="16"/>
              </w:rPr>
              <w:t>Классический ML</w:t>
            </w:r>
          </w:p>
        </w:tc>
        <w:tc>
          <w:tcPr>
            <w:tcW w:type="dxa" w:w="3307"/>
          </w:tcPr>
          <w:p>
            <w:r>
              <w:rPr>
                <w:rFonts w:ascii="Times New Roman" w:hAnsi="Times New Roman" w:eastAsia="Times New Roman" w:cs="Times New Roman"/>
                <w:b w:val="0"/>
                <w:sz w:val="16"/>
              </w:rPr>
              <w:t>0.333</w:t>
            </w:r>
          </w:p>
        </w:tc>
      </w:tr>
      <w:tr>
        <w:tc>
          <w:tcPr>
            <w:tcW w:type="dxa" w:w="3307"/>
          </w:tcPr>
          <w:p>
            <w:r>
              <w:rPr>
                <w:rFonts w:ascii="Times New Roman" w:hAnsi="Times New Roman" w:eastAsia="Times New Roman" w:cs="Times New Roman"/>
                <w:b w:val="0"/>
                <w:sz w:val="16"/>
              </w:rPr>
              <w:t>меланоцитарный невус</w:t>
            </w:r>
          </w:p>
        </w:tc>
        <w:tc>
          <w:tcPr>
            <w:tcW w:type="dxa" w:w="3307"/>
          </w:tcPr>
          <w:p>
            <w:r>
              <w:rPr>
                <w:rFonts w:ascii="Times New Roman" w:hAnsi="Times New Roman" w:eastAsia="Times New Roman" w:cs="Times New Roman"/>
                <w:b w:val="0"/>
                <w:sz w:val="16"/>
              </w:rPr>
              <w:t>Метод сопряжённости</w:t>
            </w:r>
          </w:p>
        </w:tc>
        <w:tc>
          <w:tcPr>
            <w:tcW w:type="dxa" w:w="3307"/>
          </w:tcPr>
          <w:p>
            <w:r>
              <w:rPr>
                <w:rFonts w:ascii="Times New Roman" w:hAnsi="Times New Roman" w:eastAsia="Times New Roman" w:cs="Times New Roman"/>
                <w:b w:val="0"/>
                <w:sz w:val="16"/>
              </w:rPr>
              <w:t>0.533</w:t>
            </w:r>
          </w:p>
        </w:tc>
      </w:tr>
      <w:tr>
        <w:tc>
          <w:tcPr>
            <w:tcW w:type="dxa" w:w="3307"/>
          </w:tcPr>
          <w:p>
            <w:r>
              <w:rPr>
                <w:rFonts w:ascii="Times New Roman" w:hAnsi="Times New Roman" w:eastAsia="Times New Roman" w:cs="Times New Roman"/>
                <w:b w:val="0"/>
                <w:sz w:val="16"/>
              </w:rPr>
              <w:t>сосудистое новообразование</w:t>
            </w:r>
          </w:p>
        </w:tc>
        <w:tc>
          <w:tcPr>
            <w:tcW w:type="dxa" w:w="3307"/>
          </w:tcPr>
          <w:p>
            <w:r>
              <w:rPr>
                <w:rFonts w:ascii="Times New Roman" w:hAnsi="Times New Roman" w:eastAsia="Times New Roman" w:cs="Times New Roman"/>
                <w:b w:val="0"/>
                <w:sz w:val="16"/>
              </w:rPr>
              <w:t>Метод сопряжённости</w:t>
            </w:r>
          </w:p>
        </w:tc>
        <w:tc>
          <w:tcPr>
            <w:tcW w:type="dxa" w:w="3307"/>
          </w:tcPr>
          <w:p>
            <w:r>
              <w:rPr>
                <w:rFonts w:ascii="Times New Roman" w:hAnsi="Times New Roman" w:eastAsia="Times New Roman" w:cs="Times New Roman"/>
                <w:b w:val="0"/>
                <w:sz w:val="16"/>
              </w:rPr>
              <w:t>0.467</w:t>
            </w:r>
          </w:p>
        </w:tc>
      </w:tr>
    </w:tbl>
    <w:p/>
    <w:p>
      <w:pPr>
        <w:spacing w:after="80" w:before="0"/>
      </w:pPr>
      <w:r>
        <w:rPr>
          <w:rFonts w:ascii="Times New Roman" w:hAnsi="Times New Roman" w:eastAsia="Times New Roman" w:cs="Times New Roman"/>
          <w:b w:val="0"/>
          <w:sz w:val="18"/>
        </w:rPr>
        <w:t>По итогам проверочной выборки метод сопряжённости стал чемпионом для большинства классов (4 из 7) — на остальных классах селективное переключение передаёт решение другой модели. Распределение чемпионов подтверждает: сильные и слабые стороны трёх подходов распределены по классам неравномерно и по-разному; при этом случай класса «актинический кератоз» выше показывает, что выбор, сделанный по проверочной выборке, не всегда подтверждается на независимом тесте.</w:t>
      </w:r>
    </w:p>
    <w:p>
      <w:pPr>
        <w:spacing w:before="160" w:after="80"/>
      </w:pPr>
      <w:r>
        <w:rPr>
          <w:rFonts w:ascii="Times New Roman" w:hAnsi="Times New Roman" w:eastAsia="Times New Roman" w:cs="Times New Roman"/>
          <w:b/>
          <w:sz w:val="22"/>
        </w:rPr>
        <w:t>5. Обсуждение результатов</w:t>
      </w:r>
    </w:p>
    <w:p>
      <w:pPr>
        <w:spacing w:after="80" w:before="0"/>
      </w:pPr>
      <w:r>
        <w:rPr>
          <w:rFonts w:ascii="Times New Roman" w:hAnsi="Times New Roman" w:eastAsia="Times New Roman" w:cs="Times New Roman"/>
          <w:b w:val="0"/>
          <w:sz w:val="18"/>
        </w:rPr>
        <w:t>Диагностика на проверочной выборке (раздел 4.1) показала точность «оракула» 51.4% против 29.5% у лучшей одиночной модели — разница задаёт теоретически доступный запас для объединения, но он реализуется лишь частично: итоговый эксперимент (раздел 4.2) на независимой тестовой выборке показал скромный, но реальный выигрыш («Голосование» против лучшей одиночной модели «Классический ML»).</w:t>
      </w:r>
    </w:p>
    <w:p>
      <w:pPr>
        <w:spacing w:after="80" w:before="0"/>
      </w:pPr>
      <w:r>
        <w:rPr>
          <w:rFonts w:ascii="Times New Roman" w:hAnsi="Times New Roman" w:eastAsia="Times New Roman" w:cs="Times New Roman"/>
          <w:b w:val="0"/>
          <w:sz w:val="18"/>
        </w:rPr>
        <w:t>Структура корреляции ошибок (раздел 4.1) оказалась более тонкой, чем можно было бы ожидать от простого тезиса «разные по устройству модели ошибаются по-разному»: свойство «непохожих ошибок» у метода сопряжённости выражено ИЗБИРАТЕЛЬНО — ярко в паре с классическим ML, но почти незаметно в паре со свёрточной сетью, чьи ошибки связаны с ошибками сопряжённости почти так же сильно, как ошибки классического ML и свёрточной сети между собой. Это не отменяет пользу объединения (раздел 4.2 показывает реальный, хотя и скромный выигрыш), но исправляет упрощённое прочтение: непохожесть внутреннего устройства двух моделей не гарантирует непохожести их ошибок — эту связь стоит измерять явно для каждой конкретной пары, а не постулировать заранее.</w:t>
      </w:r>
    </w:p>
    <w:p>
      <w:pPr>
        <w:spacing w:after="80" w:before="0"/>
      </w:pPr>
      <w:r>
        <w:rPr>
          <w:rFonts w:ascii="Times New Roman" w:hAnsi="Times New Roman" w:eastAsia="Times New Roman" w:cs="Times New Roman"/>
          <w:b w:val="0"/>
          <w:sz w:val="18"/>
        </w:rPr>
        <w:t>Показательный практический урок дало исправление методологической ошибки (раздел 4.2): улучшение одной из трёх базовых моделей (точность метода сопряжённости выросла почти в 1,7 раза) НЕ гарантирует улучшения объединённого решения — голосование и оба варианта стекинга не изменились вовсе, а точность селективного переключения даже снизилась. Схемы объединения по-разному чувствительны к изменению качества входящих в них моделей: усреднение вероятностей (голосование) устойчиво к шуму в одной из моделей, тогда как выбор чемпиона класса по небольшой проверочной выборке (переключение) может «поймать» случайное, не обобщающееся на тест преимущество.</w:t>
      </w:r>
    </w:p>
    <w:p>
      <w:pPr>
        <w:spacing w:after="80" w:before="0"/>
      </w:pPr>
      <w:r>
        <w:rPr>
          <w:rFonts w:ascii="Times New Roman" w:hAnsi="Times New Roman" w:eastAsia="Times New Roman" w:cs="Times New Roman"/>
          <w:b w:val="0"/>
          <w:sz w:val="18"/>
        </w:rPr>
        <w:t>Проверка стекинга с поправкой на дисбаланс классов дала намеренно скромный, контрольный результат: поправка не изменила точность, потому что обучающие данные здесь были сбалансированы по построению, а не заимствованы из неравномерного официального разбиения. Это не отменяет теоретическую уязвимость стекинга к перекосу классов (раздел 2.3) — она остаётся значимым практическим предостережением для любого применения этой схемы на данных с естественным дисбалансом (каким является, например, ПОЛНЫЙ набор данных HAM10000/ISIC2018 без балансирующей подвыборки, раздел 3) — здесь она просто не могла проявиться при выбранном честном протоколе эксперимента.</w:t>
      </w:r>
    </w:p>
    <w:p>
      <w:pPr>
        <w:spacing w:before="160" w:after="80"/>
      </w:pPr>
      <w:r>
        <w:rPr>
          <w:rFonts w:ascii="Times New Roman" w:hAnsi="Times New Roman" w:eastAsia="Times New Roman" w:cs="Times New Roman"/>
          <w:b/>
          <w:sz w:val="22"/>
        </w:rPr>
        <w:t>6. Выводы</w:t>
      </w:r>
    </w:p>
    <w:p>
      <w:pPr>
        <w:pStyle w:val="ListBullet"/>
        <w:spacing w:after="40"/>
      </w:pPr>
      <w:r>
        <w:rPr>
          <w:rFonts w:ascii="Times New Roman" w:hAnsi="Times New Roman" w:eastAsia="Times New Roman" w:cs="Times New Roman"/>
          <w:b w:val="0"/>
          <w:sz w:val="18"/>
        </w:rPr>
        <w:t>Ошибки трёх базовых моделей на проверочной выборке связаны не полностью: точность «оракула» (51.4%) заметно выше точности лучшей одиночной модели (29.5%) — теоретический запас для объединения моделей присутствует.</w:t>
      </w:r>
    </w:p>
    <w:p>
      <w:pPr>
        <w:pStyle w:val="ListBullet"/>
        <w:spacing w:after="40"/>
      </w:pPr>
      <w:r>
        <w:rPr>
          <w:rFonts w:ascii="Times New Roman" w:hAnsi="Times New Roman" w:eastAsia="Times New Roman" w:cs="Times New Roman"/>
          <w:b w:val="0"/>
          <w:sz w:val="18"/>
        </w:rPr>
        <w:t>На независимой тестовой выборке эксперимент подтвердил наличие выигрыша от объединения: лучшая схема объединения («Голосование», 0.3952) против лучшей одиночной модели («Классический ML», 0.3857) — выигрыш скромный, но полученный на данных, ни разу не участвовавших в настройке ни одной из моделей.</w:t>
      </w:r>
    </w:p>
    <w:p>
      <w:pPr>
        <w:pStyle w:val="ListBullet"/>
        <w:spacing w:after="40"/>
      </w:pPr>
      <w:r>
        <w:rPr>
          <w:rFonts w:ascii="Times New Roman" w:hAnsi="Times New Roman" w:eastAsia="Times New Roman" w:cs="Times New Roman"/>
          <w:b w:val="0"/>
          <w:sz w:val="18"/>
        </w:rPr>
        <w:t>Свойство «непохожих ошибок» у метода сопряжённости выражено избирательно (раздел 4.1): ошибки слабо связаны с ошибками классического ML, но почти так же сильно связаны с ошибками свёрточной сети, как ошибки классического ML и свёрточной сети между собой — предпосылка пользы объединения работает не универсально для каждой пары моделей, а зависит от конкретного сочетания методов.</w:t>
      </w:r>
    </w:p>
    <w:p>
      <w:pPr>
        <w:pStyle w:val="ListBullet"/>
        <w:spacing w:after="40"/>
      </w:pPr>
      <w:r>
        <w:rPr>
          <w:rFonts w:ascii="Times New Roman" w:hAnsi="Times New Roman" w:eastAsia="Times New Roman" w:cs="Times New Roman"/>
          <w:b w:val="0"/>
          <w:sz w:val="18"/>
        </w:rPr>
        <w:t>Найдена и исправлена методологическая ошибка той же природы, что и в первой статье цикла: автоматическое равнение всех 28 построенных подпространств метода сопряжённости к общему минимуму схлопывало его базисы до 2 опорных векторов и давало точность всего 0,219. После отказа от принудительного равнения точность метода сопряжённости выросла до 0.3714 — он стал сопоставим по точности с двумя другими моделями, а не является безусловно самым слабым.</w:t>
      </w:r>
    </w:p>
    <w:p>
      <w:pPr>
        <w:pStyle w:val="ListBullet"/>
        <w:spacing w:after="40"/>
      </w:pPr>
      <w:r>
        <w:rPr>
          <w:rFonts w:ascii="Times New Roman" w:hAnsi="Times New Roman" w:eastAsia="Times New Roman" w:cs="Times New Roman"/>
          <w:b w:val="0"/>
          <w:sz w:val="18"/>
        </w:rPr>
        <w:t>Улучшение одной базовой модели не гарантирует улучшения объединённого решения: после исправления ошибки точность голосования и обоих вариантов стекинга не изменилась, а точность селективного переключения снизилась — выбор чемпиона класса по небольшой (15 изображений на класс) проверочной выборке оказался чувствителен к шуму и не всегда обобщается на независимый тест (раздел 4.3).</w:t>
      </w:r>
    </w:p>
    <w:p>
      <w:pPr>
        <w:pStyle w:val="ListBullet"/>
        <w:spacing w:after="40"/>
      </w:pPr>
      <w:r>
        <w:rPr>
          <w:rFonts w:ascii="Times New Roman" w:hAnsi="Times New Roman" w:eastAsia="Times New Roman" w:cs="Times New Roman"/>
          <w:b w:val="0"/>
          <w:sz w:val="18"/>
        </w:rPr>
        <w:t>Теоретическая уязвимость стекинга к перекосу классов (раздел 2.3) подтверждена контрольной проверкой: на данных, специально сбалансированных по построению (раздел 3), поправка на дисбаланс классов не изменила результат — ожидаемый, а не случайный итог, подтверждающий, что риск реализуется именно там, где дисбаланс есть, а не является артефактом самой схемы стекинга.</w:t>
      </w:r>
    </w:p>
    <w:p>
      <w:pPr>
        <w:pStyle w:val="ListBullet"/>
        <w:spacing w:after="40"/>
      </w:pPr>
      <w:r>
        <w:rPr>
          <w:rFonts w:ascii="Times New Roman" w:hAnsi="Times New Roman" w:eastAsia="Times New Roman" w:cs="Times New Roman"/>
          <w:b w:val="0"/>
          <w:sz w:val="18"/>
        </w:rPr>
        <w:t>Селективное переключение по классам показывает явно, какая из трёх моделей лучше всего распознаёт каждый конкретный класс — это не только практический инструмент, но и диагностика, показывающая, что сильные и слабые стороны трёх подходов действительно распределены по классам НЕОДИНАКОВО.</w:t>
      </w:r>
    </w:p>
    <w:p>
      <w:pPr>
        <w:pStyle w:val="ListBullet"/>
        <w:spacing w:after="40"/>
      </w:pPr>
      <w:r>
        <w:rPr>
          <w:rFonts w:ascii="Times New Roman" w:hAnsi="Times New Roman" w:eastAsia="Times New Roman" w:cs="Times New Roman"/>
          <w:b w:val="0"/>
          <w:sz w:val="18"/>
        </w:rPr>
        <w:t>Все схемы объединения реализованы как принимающие УЖЕ обученные модели — переобучать дорогостоящую свёрточную сеть заново при каждой попытке объединения не требуется, что делает подход практичным для комбинирования моделей, обученных разными, несовместимыми между собой средствами.</w:t>
      </w:r>
    </w:p>
    <w:p>
      <w:pPr>
        <w:spacing w:before="160" w:after="80"/>
      </w:pPr>
      <w:r>
        <w:rPr>
          <w:rFonts w:ascii="Times New Roman" w:hAnsi="Times New Roman" w:eastAsia="Times New Roman" w:cs="Times New Roman"/>
          <w:b/>
          <w:sz w:val="22"/>
        </w:rPr>
        <w:t>7. Перспективы: связь со следующей статьёй</w:t>
      </w:r>
    </w:p>
    <w:p>
      <w:pPr>
        <w:spacing w:after="80" w:before="0"/>
      </w:pPr>
      <w:r>
        <w:rPr>
          <w:rFonts w:ascii="Times New Roman" w:hAnsi="Times New Roman" w:eastAsia="Times New Roman" w:cs="Times New Roman"/>
          <w:b w:val="0"/>
          <w:sz w:val="18"/>
        </w:rPr>
        <w:t>Метод сопряжённости не одинаково силён на всех классах (раздел 4.3): его полнота варьируется от 0.100 на классе «актинический кератоз» до 0.800 на классе «меланоцитарный невус» — почти шестикратный разброс внутри ОДНОЙ и той же модели. Раздел 4.3 показал также, что оценка сравнительной силы метода сопряжённости по небольшой проверочной выборке не всегда надёжно предсказывает его результат на независимом тесте — то есть неравномерность силы метода по классам реальна, но её конкретную величину для каждого класса стоит устанавливать на большем объёме данных. Один из вероятных источников такой неравномерности — само признаковое представление изображения: в этом и в первом эксперименте цикла метод сопряжённости работает с построчной развёрткой изображения в вектор, хотя тот же снимок можно развернуть и по столбцам, получив иначе устроенное представление той же геометрической информации. Следующая статья цикла («Мультипредставительная гибридизация признакового пространства в методе сопряжённости: горизонтальная и вертикальная развёртка изображения») возвращается к медицинскому МРТ-датасету проекта и проверяет, можно ли сократить разрыв между слабыми и сильными классами, не привлекая внешние модели, а обогатив признаковое представление внутри самого метода.</w:t>
      </w:r>
    </w:p>
    <w:sectPr w:rsidR="00FC693F" w:rsidRPr="0006063C" w:rsidSect="00034616">
      <w:pgSz w:w="11906" w:h="16838"/>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