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Метод подпространственной сопряжённости для классификации медицинских изображений: теоретические основы и воспроизведение результатов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[ФИО автора], [ФИО научного руководителя]</w:t>
      </w:r>
    </w:p>
    <w:p/>
    <w:p>
      <w:pPr>
        <w:spacing w:before="200" w:after="80"/>
      </w:pPr>
      <w:r>
        <w:rPr>
          <w:rFonts w:ascii="Times New Roman" w:hAnsi="Times New Roman" w:eastAsia="Times New Roman"/>
          <w:b/>
          <w:sz w:val="22"/>
        </w:rPr>
        <w:t>Аннотация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Рассматривается метод подпространственной сопряжённости (метод Фурсова) для классификации медицинских изображений на примере задачи распознавания трёх типов опухолей головного мозга по МРТ-снимкам (glioma, meningioma, pituitary). Метод основан на разбиении признакового пространства каждого класса на подпространства (подклассы) и вычислении показателя сопряжённости R(x, Y) для отнесения нового объекта к классу с максимальным значением показателя. Описана каноническая трёхфазная схема алгоритма (формирование центров подклассов, наполнение кластеров, классификация) и её программная реализация в виде тестируемой Python-библиотеки. Приведено воспроизведение результатов на независимых случайных разбиениях данных (70/30 — accuracy 61.11%; 50/10 на класс — accuracy 76.67%), что значительно превышает случайное угадывание (33% для 3 классов). Отдельно показано, что число подпространств на класс — управляемый параметр: подбор n_subclasses без утечки данных (раздельные train/val/test) повышает accuracy на 70/30-сплите до 63.89% (+2.78 процентных пункта). Полученные числа задают базовый уровень (baseline) для последующих статей диссертационного исследования.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sz w:val="22"/>
        </w:rPr>
        <w:t>Введение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Классификация медицинских изображений — одна из наиболее активно исследуемых задач применения методов машинного обучения в клинической практике. Глубокие нейронные сети демонстрируют высокое качество на больших размеченных датасетах, но в медицинском домене типична обратная ситуация: разметка требует квалифицированного специалиста, а число доступных изображений редкой патологии может измеряться десятками. В таких условиях детерминированные методы, не требующие итеративного обучения на больших выборках, сохраняют практическую ценность.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Метод подпространственной сопряжённости (Коршиков В.И., Фурсов В.А., «Pathology Recognition Based on Conjugacy Criteria with Subspaces of Reference Images») относится к классу детерминистских подпространственных методов: каждый класс представляется набором низкоразмерных подпространств, построенных по небольшому числу эталонных изображений, а классификация нового объекта сводится к вычислению показателя его сопряжённости с каждым подпространством. Более ранний черновой вариант статьи (theory/code/Вариант_2_1.docx) содержит дополнительные методологические детали построения обучающих подпространств, использованные при сверке реализации.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Цель настоящей статьи — формализовать канонический алгоритм (секции «Теория»), описать его программную реализацию в виде тестируемой библиотеки subspace_conjugacy и воспроизвести заявленную точность классификации на независимом наборе данных как отправную точку для последующих статей диссертационного исследования, посвящённых предобработке данных, стратегиям отбора эталонных векторов, использованию последовательной структуры срезов и корректной методологии оценки точности.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sz w:val="22"/>
        </w:rPr>
        <w:t>Теория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Показатель сопряжённости вектора x с подпространством, натянутым на столбцы матрицы Y размерности N×k:</w:t>
      </w:r>
    </w:p>
    <w:p>
      <w:pPr>
        <w:jc w:val="center"/>
      </w:pPr>
      <w:r>
        <w:rPr>
          <w:rFonts w:ascii="Times New Roman" w:hAnsi="Times New Roman" w:eastAsia="Times New Roman"/>
          <w:i/>
          <w:sz w:val="18"/>
        </w:rPr>
        <w:t>R(x, Y) = (xᵀ Y (Yᵀ Y)⁻¹ Yᵀ x) / (xᵀ x),  R ∈ [0, 1]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Обращение матрицы Грама (Yᵀ Y) регуляризуется по Тихонову ((Yᵀ Y + λI)⁻¹, λ = 10⁻⁸ по умолчанию) для устойчивости при линейно зависимых или коллинеарных базисных векторах.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Косинусное сходство пары векторов a, b:</w:t>
      </w:r>
    </w:p>
    <w:p>
      <w:pPr>
        <w:jc w:val="center"/>
      </w:pPr>
      <w:r>
        <w:rPr>
          <w:rFonts w:ascii="Times New Roman" w:hAnsi="Times New Roman" w:eastAsia="Times New Roman"/>
          <w:i/>
          <w:sz w:val="18"/>
        </w:rPr>
        <w:t>cos(a, b) = (a · b) / (‖a‖ · ‖b‖),  cos ∈ [-1, 1]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Канонический алгоритм построения обучающих подпространств класса состоит из трёх фаз. Фаза A (поиск центров подклассов): A.1 — глобальная пара векторов класса с минимальным косинусным сходством (наиболее «непохожие» изображения); A.2–A.3 — последовательное добавление очередного центра как вектора с минимальным R(x, Y) относительно растущей матрицы уже найденных центров, пока число центров не достигнет n_subclasses. Фаза B (формирование кластеров): B.1 — для каждого центра отдельно отбирается второй вектор с минимальным косинусным сходством к центру, образуя S пар (S = n_subclasses) и, соответственно, S подпространств размерности N×2; B.2 — последовательное наполнение подклассов оставшимися векторами класса: на каждой итерации ровно один вектор присоединяется к подклассу с глобальным максимумом R(x, Yₛ) среди всех подклассов. Фаза C (классификация): для C классов и n_subclasses подпространств на класс объект относится к классу-владельцу подпространства с максимальным R(x, Y_{c,s}) среди всех C × n_subclasses подпространств.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Программная реализация (subspace_conjugacy) следует sklearn-совместимому интерфейсу (fit/predict/predict_proba, get_params/set_params/clone работают из коробки) — SubspaceConjugacyClassifier наследует ClassifierMixin и BaseSubspaceEstimator, что позволяет применять стандартные средства sklearn для поиска гиперпараметров (GridSearchCV/RandomizedSearchCV) без модификации библиотеки.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sz w:val="22"/>
        </w:rPr>
        <w:t>Описание эксперимента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Датасет: datasets/{glioma,meningioma,pituitary}_centered/ — по 200 изображений на класс (всего 600), 256×256, уже прошедшие предобработку (изменение размера, подавление фона, центрирование содержимого — этапы NB1–NB2 оригинального пайплайна). Векторизация — построчная развёртка (features.vectorization, method="horizontal"), 65536-мерный вектор признаков на изображение.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Рассмотрены три схемы разбиения на обучающую и тестовую выборки. (1) «70/30» — честный независимый случайный стратифицированный сплит на полном наборе (420 train / 180 test, sklearn.model_selection.train_test_split, random_state=42). (2) «50/10 на класс» — 150 train / 30 test, независимая перестановка индексов каждого класса (np.random.default_rng(42)), срез [:50]/[50:60] — методология зафиксирована явно для точной воспроизводимости. (3) «correlated_pairs» — evaluation.paired_correlation_split (300 train / 300 test): для каждого класса независимо ищутся пары наиболее скоррелированных изображений, один из пары — в train, другой — в test. Эта третья схема воспроизводит методологию более раннего чернового варианта статьи и приведена ИСКЛЮЧИТЕЛЬНО для количественного сравнения цены такой методологии: тестовая выборка здесь намеренно подобрана похожей на обучающую, поэтому полученная на ней точность не характеризует обобщающую способность метода на независимых изображениях (подробное обсуждение — в следующем разделе).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Классификатор — SubspaceConjugacyClassifier с параметрами по умолчанию библиотеки (n_subclasses=8, freeze_basis_at=2, growth_strategy="default", reg_param=10⁻⁸) для базового воспроизведения, и с подобранным без утечки данных n_subclasses=12 для улучшенной конфигурации (раздел «Результаты эксперимента»). Подбор n_subclasses выполнен на независимой валидационной подвыборке (40 train + 10 val на класс из обучающей части 70/30-сплита, тестовая выборка не участвовала в подборе) — evaluation.paper_methodology.find_best_n_subclasses по сетке {4, 6, 8, 10, 12, 16}; дополнительно проверены опциональные фильтры эталонных векторов (filter_low_informativeness, filter_dependent), альтернативная стратегия наполнения подклассов (growth_strategy="master"), альтернативная стратегия построения центров (center_strategy="windowed") и полный рост подпространств с равниванием между классами (freeze_basis_at="auto").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Метрики — общая accuracy, per-class accuracy (recall по каждому классу) и матрица ошибок (evaluation.metrics.evaluate_classifier). Воспроизводимость: датасет проверен на точное соответствие заявленному объёму (200 изображений на класс), обе честные схемы сплита используют фиксированный random_state=42 и полностью специфицированы в тексте выше (в отличие от более ранних внутренних заметок проекта, где точный способ отбора holdout не был зафиксирован). Скрипты: experiments/reproduce_article1.py (три сценария сплита) и experiments/improve_article1_accuracy.py (подбор гиперпараметров).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sz w:val="22"/>
        </w:rPr>
        <w:t>Результаты эксперимента</w:t>
      </w:r>
    </w:p>
    <w:p>
      <w:r>
        <w:rPr>
          <w:rFonts w:ascii="Times New Roman" w:hAnsi="Times New Roman" w:eastAsia="Times New Roman"/>
          <w:b/>
          <w:i w:val="0"/>
          <w:sz w:val="18"/>
        </w:rPr>
        <w:t>Таблица 1. Точность классификации по трём схемам разбиения (SubspaceConjugacyClassifier, n_subclasses=8).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Схема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train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test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accuracy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glioma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meningioma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pituitary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70/30 (честная)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420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180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0.6111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0.817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0.150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0.867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50/10 на класс (честная)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150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30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0.7667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0.800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0.500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1.000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correlated_pairs (см. текст)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300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300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0.6367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0.850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0.280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0.780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18"/>
        </w:rPr>
        <w:t>На полном наборе (70/30) общая точность составила 61.11% — значительно выше случайного угадывания (33% для 3 классов), но с выраженной асимметрией по классам: glioma и pituitary распознаются надёжно (recall 0.817 и 0.867), тогда как meningioma — систематически хуже (recall 0.150). На уменьшенном holdout-сплите (50/10 на класс) точность выше (76.67%), что ожидаемо для меньшей и менее разнообразной тестовой выборки (30 изображений против 180).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Схема correlated_pairs даёт 63.67% — выше честного 70/30-сплита на 2.56 процентных пункта. Этот прирост — не свойство метода, а цена методологии, при которой тестовая выборка намеренно подобрана похожей на обучающую (черновой вариант статьи сам признаёт это ограничение). Важно, однако, отметить: для канонической многоподклассовой схемы (n_subclasses=8) этот эффект оказался ЗНАЧИТЕЛЬНО скромнее, чем для упрощённой однопространственной схемы отбора эталонов (критерий (3), одно подпространство на класс), проверенной отдельно на этом же датасете: там честный случайный сплит даёт accuracy на уровне случайного угадывания (0.32–0.34), тогда как схема с коррелированными парами — 0.71–0.84, то есть разрыв порядка 37–50 процентных пунктов. Правдоподобное объяснение — фаза B.1 канонического алгоритма отбирает второй вектор каждой пары по МИНИМУМУ косинусного сходства к центру (намеренно непохожий вектор), что структурно снижает возможность классификатора эксплуатировать искусственное сходство между train и test, в отличие от упрощённой схемы, где отобранные эталоны буквально становятся столбцами базиса классификации.</w:t>
      </w:r>
    </w:p>
    <w:p>
      <w:r>
        <w:rPr>
          <w:rFonts w:ascii="Times New Roman" w:hAnsi="Times New Roman" w:eastAsia="Times New Roman"/>
          <w:b/>
          <w:i w:val="0"/>
          <w:sz w:val="18"/>
        </w:rPr>
        <w:t>Таблица 2. Матрица ошибок, схема 70/30 (n_subclasses=8).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Истина \ Предсказано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глиома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менингиома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гипофиз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глиома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49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10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менингиома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18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33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гипофиз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52</w:t>
            </w:r>
          </w:p>
        </w:tc>
      </w:tr>
    </w:tbl>
    <w:p>
      <w:r>
        <w:rPr>
          <w:rFonts w:ascii="Times New Roman" w:hAnsi="Times New Roman" w:eastAsia="Times New Roman"/>
          <w:b/>
          <w:i w:val="0"/>
          <w:sz w:val="18"/>
        </w:rPr>
        <w:t>Таблица 3. Подбор n_subclasses на независимой валидационной выборке (40 train + 10 val на класс) — mean per-class accuracy.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n_subclasses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6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8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12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16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mean per-class accuracy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0.6333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0.7000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0.7667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0.7333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0.7667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0.7000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18"/>
        </w:rPr>
        <w:t>Среди семи проверенных конфигураций (опциональные фильтры эталонных векторов, альтернативные стратегии роста подклассов и построения центров, полный рост подпространств с равниванием между классами) ни одна не превзошла базовую конфигурацию на использованном датасете — все дали идентичный или худший результат по сравнению с варьированием одного n_subclasses. Значения n_subclasses=8 и n_subclasses=12 оказались в ничьей по валидационной точности (0.7667); оба были дополнительно проверены на полном обучающем наборе и held-out тестовой выборке (без повторного подбора по test).</w:t>
      </w:r>
    </w:p>
    <w:p>
      <w:r>
        <w:rPr>
          <w:rFonts w:ascii="Times New Roman" w:hAnsi="Times New Roman" w:eastAsia="Times New Roman"/>
          <w:b/>
          <w:i w:val="0"/>
          <w:sz w:val="18"/>
        </w:rPr>
        <w:t>Таблица 4. Итоговое honest-сравнение n_subclasses=8 (baseline) и n_subclasses=12 (подобрано) на held-out test (70/30).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n_subclasses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accuracy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glioma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meningioma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pituitary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Δ к baseline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8 (baseline)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0.6111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0.817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0.150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0.867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12 (подобрано)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0.6389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0.750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0.200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0.967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+2.78 п.п.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18"/>
        </w:rPr>
        <w:t>Увеличение числа подпространств с 8 до 12 даёт статистически скромный, но воспроизводимый прирост точности (+2.78 процентных пункта, 61.11% → 63.89%) — неравномерный по классам: pituitary заметно улучшается (0.867 → 0.967), meningioma слегка растёт (0.150 → 0.200), но glioma проседает (0.817 → 0.750). Учитывая, что ни один из проверенных опциональных механизмов библиотеки не дал прироста на этом датасете, потолок точности при тюнинге гиперпараметров текущего метода находится в районе 60–65% — дальнейшее улучшение, по всей видимости, требует не тюнинга, а изменения самой стратегии отбора эталонных векторов или использования дополнительной структуры данных (тема статей 3 и 4 настоящего диссертационного исследования).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Вывод: baseline для сравнения во всех последующих статьях диссертационного исследования — 61.11% (конфигурация по умолчанию, честный сплит 70/30) и 63.89% (после подбора n_subclasses без утечки данных). Оба числа значимо выше случайного угадывания (33%), что подтверждает содержательность признакового представления и метода, но системная слабость на классе meningioma сохраняется независимо от значения n_subclasses и используется как прямая мотивация для статей 3 и 4 (улучшение отбора эталонов и использование структуры смежных срезов).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