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Анализ последовательной структуры смежных срезов медицинских изображений методом свёрточных нейронных сетей</w:t>
      </w:r>
    </w:p>
    <w:p>
      <w:pPr>
        <w:jc w:val="center"/>
      </w:pPr>
      <w:r>
        <w:rPr>
          <w:rFonts w:ascii="Times New Roman" w:hAnsi="Times New Roman" w:eastAsia="Times New Roman"/>
          <w:b w:val="0"/>
          <w:i/>
          <w:sz w:val="18"/>
        </w:rPr>
        <w:t>[ФИО автора], [ФИО научного руководителя]</w:t>
      </w:r>
    </w:p>
    <w:p/>
    <w:p>
      <w:pPr>
        <w:spacing w:before="200" w:after="80"/>
      </w:pPr>
      <w:r>
        <w:rPr>
          <w:rFonts w:ascii="Times New Roman" w:hAnsi="Times New Roman" w:eastAsia="Times New Roman"/>
          <w:b/>
          <w:sz w:val="22"/>
        </w:rPr>
        <w:t>Аннотация</w:t>
      </w:r>
    </w:p>
    <w:p>
      <w:r>
        <w:rPr>
          <w:rFonts w:ascii="Times New Roman" w:hAnsi="Times New Roman" w:eastAsia="Times New Roman"/>
          <w:b w:val="0"/>
          <w:i w:val="0"/>
          <w:sz w:val="18"/>
        </w:rPr>
        <w:t>Медицинские изображения (МРТ, КТ) часто представляют собой не отдельные независимые снимки, а последовательность срезов одного исследования, соседние элементы которой пространственно и визуально коррелированы. В работе рассматривается задача попиксельной сегментации опухоли головного мозга на МРТ-срезах свёрточной нейронной сетью. Исследованы два независимых источника повышения качества: (1) учёт нескольких физически смежных по оси срезов в виде дополнительных входных каналов и (2) одновременное использование нескольких МРТ-модальностей (FLAIR, T1, T1-постконтраст, T2) вместо одной. Качество оценивается коэффициентом Дайса на срезах, содержащих опухоль, — при усреднении по ВСЕМ срезам (включая заведомо пустые) метрика оказывается завышена тривиальным распознаванием отсутствия патологии, что показано отдельно. На честном (по пациентам) разбиении набора BraTS2020 (160 пациентов) контекст физически смежных срезов даёт статистически устойчивый (подтверждён на 4 из 5 независимых разбиений) прирост Dice, тогда как замена соседей случайными срезами не просто не помогает, а ухудшает результат (подтверждено на 5 из 5 разбиений) — прямое свидетельство того, что сеть использует именно физическую смежность срезов. Мультимодальный вход оказался заметно более сильным рычагом: лучшая из 9 сопоставленных архитектур на одной модальности даёт 69.5% Dice, тогда как тот же тип сети на четырёх модальностях одновременно — 78.3% (+8.8 процентных пункта). Отдельно количественно показано, что качество существенно падает (29.3 процентных пункта) при переносе модели на источник данных, не представленный в обучающей выборке, а сравнение с дообученной (transfer learning) предобученной сетью не дало ей преимущества перед специализированными архитектурами на этом объёме данных.</w:t>
      </w:r>
    </w:p>
    <w:p>
      <w:pPr>
        <w:spacing w:before="200" w:after="80"/>
      </w:pPr>
      <w:r>
        <w:rPr>
          <w:rFonts w:ascii="Times New Roman" w:hAnsi="Times New Roman" w:eastAsia="Times New Roman"/>
          <w:b/>
          <w:sz w:val="22"/>
        </w:rPr>
        <w:t>Введение</w:t>
      </w:r>
    </w:p>
    <w:p>
      <w:r>
        <w:rPr>
          <w:rFonts w:ascii="Times New Roman" w:hAnsi="Times New Roman" w:eastAsia="Times New Roman"/>
          <w:b w:val="0"/>
          <w:i w:val="0"/>
          <w:sz w:val="18"/>
        </w:rPr>
        <w:t>Снимки одного пациента — например, последовательные срезы МРТ-исследования — визуально и статистически ближе друг к другу, чем снимки разных пациентов: это структурная информация, которую сегментация одного изолированного среза не использует, хотя соседние срезы могут содержать существенную подсказку о форме и границах той же опухоли в трёхмерном пространстве.</w:t>
      </w:r>
    </w:p>
    <w:p>
      <w:r>
        <w:rPr>
          <w:rFonts w:ascii="Times New Roman" w:hAnsi="Times New Roman" w:eastAsia="Times New Roman"/>
          <w:b w:val="0"/>
          <w:i w:val="0"/>
          <w:sz w:val="18"/>
        </w:rPr>
        <w:t>Отдельного обсуждения заслуживает выбор метрики качества на ДВУХ уровнях. Во-первых, пиксельная accuracy — интуитивно понятный, но обманчивый показатель для сегментации малых объектов: опухоль на срезе МРТ обычно занимает лишь единицы процентов площади изображения, поэтому модель, повсеместно предсказывающая «фон», уже получает accuracy, близкую к доле фоновых пикселей. Во-вторых, даже коэффициент Дайса, усреднённый по ВСЕМ тестовым срезам (включая срезы, не содержащие опухоли вовсе), смешивает две разные подзадачи: «распознать отсутствие патологии» (тривиально для любой разумной модели) и «точно очертить границу опухоли там, где она есть» (содержательная задача статьи). Поэтому основные результаты далее приводятся РАЗДЕЛЬНО для срезов с опухолью и без неё.</w:t>
      </w:r>
    </w:p>
    <w:p>
      <w:r>
        <w:rPr>
          <w:rFonts w:ascii="Times New Roman" w:hAnsi="Times New Roman" w:eastAsia="Times New Roman"/>
          <w:b w:val="0"/>
          <w:i w:val="0"/>
          <w:sz w:val="18"/>
        </w:rPr>
        <w:t>Задача работы — установить, (1) научится ли свёрточная сеть использовать физическую смежность срезов для более точной сегментации опухоли (гипотезы H1/H2, формальные формулировки — раздел «Теория»), и (2) насколько использование нескольких МРТ-модальностей одновременно способно повысить качество относительно архитектурных улучшений в пределах одной модальности. Дополнительно, с учётом предполагаемого клинического контекста применения метода, проверены: статистическая устойчивость выводов по нескольким независимым разбиениям данных, устойчивость качества при переносе на не представленный в обучении источник снимков, и сравнение с общепринятым в области подходом переноса обучения (transfer learning) от сети, предобученной на другом домене изображений.</w:t>
      </w:r>
    </w:p>
    <w:p>
      <w:pPr>
        <w:spacing w:before="200" w:after="80"/>
      </w:pPr>
      <w:r>
        <w:rPr>
          <w:rFonts w:ascii="Times New Roman" w:hAnsi="Times New Roman" w:eastAsia="Times New Roman"/>
          <w:b/>
          <w:sz w:val="22"/>
        </w:rPr>
        <w:t>Теория</w:t>
      </w:r>
    </w:p>
    <w:p>
      <w:r>
        <w:rPr>
          <w:rFonts w:ascii="Times New Roman" w:hAnsi="Times New Roman" w:eastAsia="Times New Roman"/>
          <w:b w:val="0"/>
          <w:i w:val="0"/>
          <w:sz w:val="18"/>
        </w:rPr>
        <w:t>Рассматривается задача бинарной попиксельной сегментации: по срезу магнитно-резонансной томографии требуется построить маску того же размера, относящую каждый пиксель к одному из двух классов — «опухоль» (объединение всех подобластей экспертной разметки) или «фон».</w:t>
      </w:r>
    </w:p>
    <w:p>
      <w:r>
        <w:rPr>
          <w:rFonts w:ascii="Times New Roman" w:hAnsi="Times New Roman" w:eastAsia="Times New Roman"/>
          <w:b w:val="0"/>
          <w:i w:val="0"/>
          <w:sz w:val="18"/>
        </w:rPr>
        <w:t>Для проверки влияния физически смежных срезов на качество сегментации сначала количественно оценена структура сходства срезов одного пациента. Для каждой пары срезов вычислено косинусное сходство вектора пикселей; усреднение по всем парам с фиксированным расстоянием (лагом) по оси среза даёт следующую зависимость:</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18"/>
              </w:rPr>
              <w:t>Лаг |i-j|</w:t>
            </w:r>
          </w:p>
        </w:tc>
        <w:tc>
          <w:tcPr>
            <w:tcW w:type="dxa" w:w="3120"/>
          </w:tcPr>
          <w:p>
            <w:r/>
            <w:r>
              <w:rPr>
                <w:rFonts w:ascii="Times New Roman" w:hAnsi="Times New Roman" w:eastAsia="Times New Roman"/>
                <w:b/>
                <w:sz w:val="18"/>
              </w:rPr>
              <w:t>Содержательный порядок</w:t>
            </w:r>
          </w:p>
        </w:tc>
        <w:tc>
          <w:tcPr>
            <w:tcW w:type="dxa" w:w="3120"/>
          </w:tcPr>
          <w:p>
            <w:r/>
            <w:r>
              <w:rPr>
                <w:rFonts w:ascii="Times New Roman" w:hAnsi="Times New Roman" w:eastAsia="Times New Roman"/>
                <w:b/>
                <w:sz w:val="18"/>
              </w:rPr>
              <w:t>Перемешанный порядок</w:t>
            </w:r>
          </w:p>
        </w:tc>
      </w:tr>
      <w:tr>
        <w:tc>
          <w:tcPr>
            <w:tcW w:type="dxa" w:w="3120"/>
          </w:tcPr>
          <w:p>
            <w:r/>
            <w:r>
              <w:rPr>
                <w:rFonts w:ascii="Times New Roman" w:hAnsi="Times New Roman" w:eastAsia="Times New Roman"/>
                <w:sz w:val="18"/>
              </w:rPr>
              <w:t>1</w:t>
            </w:r>
          </w:p>
        </w:tc>
        <w:tc>
          <w:tcPr>
            <w:tcW w:type="dxa" w:w="3120"/>
          </w:tcPr>
          <w:p>
            <w:r/>
            <w:r>
              <w:rPr>
                <w:rFonts w:ascii="Times New Roman" w:hAnsi="Times New Roman" w:eastAsia="Times New Roman"/>
                <w:sz w:val="18"/>
              </w:rPr>
              <w:t>96.4%</w:t>
            </w:r>
          </w:p>
        </w:tc>
        <w:tc>
          <w:tcPr>
            <w:tcW w:type="dxa" w:w="3120"/>
          </w:tcPr>
          <w:p>
            <w:r/>
            <w:r>
              <w:rPr>
                <w:rFonts w:ascii="Times New Roman" w:hAnsi="Times New Roman" w:eastAsia="Times New Roman"/>
                <w:sz w:val="18"/>
              </w:rPr>
              <w:t>67.7%</w:t>
            </w:r>
          </w:p>
        </w:tc>
      </w:tr>
      <w:tr>
        <w:tc>
          <w:tcPr>
            <w:tcW w:type="dxa" w:w="3120"/>
          </w:tcPr>
          <w:p>
            <w:r/>
            <w:r>
              <w:rPr>
                <w:rFonts w:ascii="Times New Roman" w:hAnsi="Times New Roman" w:eastAsia="Times New Roman"/>
                <w:sz w:val="18"/>
              </w:rPr>
              <w:t>2</w:t>
            </w:r>
          </w:p>
        </w:tc>
        <w:tc>
          <w:tcPr>
            <w:tcW w:type="dxa" w:w="3120"/>
          </w:tcPr>
          <w:p>
            <w:r/>
            <w:r>
              <w:rPr>
                <w:rFonts w:ascii="Times New Roman" w:hAnsi="Times New Roman" w:eastAsia="Times New Roman"/>
                <w:sz w:val="18"/>
              </w:rPr>
              <w:t>93.7%</w:t>
            </w:r>
          </w:p>
        </w:tc>
        <w:tc>
          <w:tcPr>
            <w:tcW w:type="dxa" w:w="3120"/>
          </w:tcPr>
          <w:p>
            <w:r/>
            <w:r>
              <w:rPr>
                <w:rFonts w:ascii="Times New Roman" w:hAnsi="Times New Roman" w:eastAsia="Times New Roman"/>
                <w:sz w:val="18"/>
              </w:rPr>
              <w:t>65.5%</w:t>
            </w:r>
          </w:p>
        </w:tc>
      </w:tr>
      <w:tr>
        <w:tc>
          <w:tcPr>
            <w:tcW w:type="dxa" w:w="3120"/>
          </w:tcPr>
          <w:p>
            <w:r/>
            <w:r>
              <w:rPr>
                <w:rFonts w:ascii="Times New Roman" w:hAnsi="Times New Roman" w:eastAsia="Times New Roman"/>
                <w:sz w:val="18"/>
              </w:rPr>
              <w:t>3</w:t>
            </w:r>
          </w:p>
        </w:tc>
        <w:tc>
          <w:tcPr>
            <w:tcW w:type="dxa" w:w="3120"/>
          </w:tcPr>
          <w:p>
            <w:r/>
            <w:r>
              <w:rPr>
                <w:rFonts w:ascii="Times New Roman" w:hAnsi="Times New Roman" w:eastAsia="Times New Roman"/>
                <w:sz w:val="18"/>
              </w:rPr>
              <w:t>90.7%</w:t>
            </w:r>
          </w:p>
        </w:tc>
        <w:tc>
          <w:tcPr>
            <w:tcW w:type="dxa" w:w="3120"/>
          </w:tcPr>
          <w:p>
            <w:r/>
            <w:r>
              <w:rPr>
                <w:rFonts w:ascii="Times New Roman" w:hAnsi="Times New Roman" w:eastAsia="Times New Roman"/>
                <w:sz w:val="18"/>
              </w:rPr>
              <w:t>66.4%</w:t>
            </w:r>
          </w:p>
        </w:tc>
      </w:tr>
      <w:tr>
        <w:tc>
          <w:tcPr>
            <w:tcW w:type="dxa" w:w="3120"/>
          </w:tcPr>
          <w:p>
            <w:r/>
            <w:r>
              <w:rPr>
                <w:rFonts w:ascii="Times New Roman" w:hAnsi="Times New Roman" w:eastAsia="Times New Roman"/>
                <w:sz w:val="18"/>
              </w:rPr>
              <w:t>5</w:t>
            </w:r>
          </w:p>
        </w:tc>
        <w:tc>
          <w:tcPr>
            <w:tcW w:type="dxa" w:w="3120"/>
          </w:tcPr>
          <w:p>
            <w:r/>
            <w:r>
              <w:rPr>
                <w:rFonts w:ascii="Times New Roman" w:hAnsi="Times New Roman" w:eastAsia="Times New Roman"/>
                <w:sz w:val="18"/>
              </w:rPr>
              <w:t>86.0%</w:t>
            </w:r>
          </w:p>
        </w:tc>
        <w:tc>
          <w:tcPr>
            <w:tcW w:type="dxa" w:w="3120"/>
          </w:tcPr>
          <w:p>
            <w:r/>
            <w:r>
              <w:rPr>
                <w:rFonts w:ascii="Times New Roman" w:hAnsi="Times New Roman" w:eastAsia="Times New Roman"/>
                <w:sz w:val="18"/>
              </w:rPr>
              <w:t>67.1%</w:t>
            </w:r>
          </w:p>
        </w:tc>
      </w:tr>
      <w:tr>
        <w:tc>
          <w:tcPr>
            <w:tcW w:type="dxa" w:w="3120"/>
          </w:tcPr>
          <w:p>
            <w:r/>
            <w:r>
              <w:rPr>
                <w:rFonts w:ascii="Times New Roman" w:hAnsi="Times New Roman" w:eastAsia="Times New Roman"/>
                <w:sz w:val="18"/>
              </w:rPr>
              <w:t>10</w:t>
            </w:r>
          </w:p>
        </w:tc>
        <w:tc>
          <w:tcPr>
            <w:tcW w:type="dxa" w:w="3120"/>
          </w:tcPr>
          <w:p>
            <w:r/>
            <w:r>
              <w:rPr>
                <w:rFonts w:ascii="Times New Roman" w:hAnsi="Times New Roman" w:eastAsia="Times New Roman"/>
                <w:sz w:val="18"/>
              </w:rPr>
              <w:t>77.7%</w:t>
            </w:r>
          </w:p>
        </w:tc>
        <w:tc>
          <w:tcPr>
            <w:tcW w:type="dxa" w:w="3120"/>
          </w:tcPr>
          <w:p>
            <w:r/>
            <w:r>
              <w:rPr>
                <w:rFonts w:ascii="Times New Roman" w:hAnsi="Times New Roman" w:eastAsia="Times New Roman"/>
                <w:sz w:val="18"/>
              </w:rPr>
              <w:t>68.6%</w:t>
            </w:r>
          </w:p>
        </w:tc>
      </w:tr>
      <w:tr>
        <w:tc>
          <w:tcPr>
            <w:tcW w:type="dxa" w:w="3120"/>
          </w:tcPr>
          <w:p>
            <w:r/>
            <w:r>
              <w:rPr>
                <w:rFonts w:ascii="Times New Roman" w:hAnsi="Times New Roman" w:eastAsia="Times New Roman"/>
                <w:sz w:val="18"/>
              </w:rPr>
              <w:t>20</w:t>
            </w:r>
          </w:p>
        </w:tc>
        <w:tc>
          <w:tcPr>
            <w:tcW w:type="dxa" w:w="3120"/>
          </w:tcPr>
          <w:p>
            <w:r/>
            <w:r>
              <w:rPr>
                <w:rFonts w:ascii="Times New Roman" w:hAnsi="Times New Roman" w:eastAsia="Times New Roman"/>
                <w:sz w:val="18"/>
              </w:rPr>
              <w:t>70.9%</w:t>
            </w:r>
          </w:p>
        </w:tc>
        <w:tc>
          <w:tcPr>
            <w:tcW w:type="dxa" w:w="3120"/>
          </w:tcPr>
          <w:p>
            <w:r/>
            <w:r>
              <w:rPr>
                <w:rFonts w:ascii="Times New Roman" w:hAnsi="Times New Roman" w:eastAsia="Times New Roman"/>
                <w:sz w:val="18"/>
              </w:rPr>
              <w:t>67.3%</w:t>
            </w:r>
          </w:p>
        </w:tc>
      </w:tr>
      <w:tr>
        <w:tc>
          <w:tcPr>
            <w:tcW w:type="dxa" w:w="3120"/>
          </w:tcPr>
          <w:p>
            <w:r/>
            <w:r>
              <w:rPr>
                <w:rFonts w:ascii="Times New Roman" w:hAnsi="Times New Roman" w:eastAsia="Times New Roman"/>
                <w:sz w:val="18"/>
              </w:rPr>
              <w:t>40</w:t>
            </w:r>
          </w:p>
        </w:tc>
        <w:tc>
          <w:tcPr>
            <w:tcW w:type="dxa" w:w="3120"/>
          </w:tcPr>
          <w:p>
            <w:r/>
            <w:r>
              <w:rPr>
                <w:rFonts w:ascii="Times New Roman" w:hAnsi="Times New Roman" w:eastAsia="Times New Roman"/>
                <w:sz w:val="18"/>
              </w:rPr>
              <w:t>63.8%</w:t>
            </w:r>
          </w:p>
        </w:tc>
        <w:tc>
          <w:tcPr>
            <w:tcW w:type="dxa" w:w="3120"/>
          </w:tcPr>
          <w:p>
            <w:r/>
            <w:r>
              <w:rPr>
                <w:rFonts w:ascii="Times New Roman" w:hAnsi="Times New Roman" w:eastAsia="Times New Roman"/>
                <w:sz w:val="18"/>
              </w:rPr>
              <w:t>67.2%</w:t>
            </w:r>
          </w:p>
        </w:tc>
      </w:tr>
      <w:tr>
        <w:tc>
          <w:tcPr>
            <w:tcW w:type="dxa" w:w="3120"/>
          </w:tcPr>
          <w:p>
            <w:r/>
            <w:r>
              <w:rPr>
                <w:rFonts w:ascii="Times New Roman" w:hAnsi="Times New Roman" w:eastAsia="Times New Roman"/>
                <w:sz w:val="18"/>
              </w:rPr>
              <w:t>80</w:t>
            </w:r>
          </w:p>
        </w:tc>
        <w:tc>
          <w:tcPr>
            <w:tcW w:type="dxa" w:w="3120"/>
          </w:tcPr>
          <w:p>
            <w:r/>
            <w:r>
              <w:rPr>
                <w:rFonts w:ascii="Times New Roman" w:hAnsi="Times New Roman" w:eastAsia="Times New Roman"/>
                <w:sz w:val="18"/>
              </w:rPr>
              <w:t>56.0%</w:t>
            </w:r>
          </w:p>
        </w:tc>
        <w:tc>
          <w:tcPr>
            <w:tcW w:type="dxa" w:w="3120"/>
          </w:tcPr>
          <w:p>
            <w:r/>
            <w:r>
              <w:rPr>
                <w:rFonts w:ascii="Times New Roman" w:hAnsi="Times New Roman" w:eastAsia="Times New Roman"/>
                <w:sz w:val="18"/>
              </w:rPr>
              <w:t>68.8%</w:t>
            </w:r>
          </w:p>
        </w:tc>
      </w:tr>
    </w:tbl>
    <w:p>
      <w:pPr>
        <w:jc w:val="center"/>
      </w:pPr>
      <w:r>
        <w:rPr>
          <w:rFonts w:ascii="Times New Roman" w:hAnsi="Times New Roman" w:eastAsia="Times New Roman"/>
          <w:b w:val="0"/>
          <w:i/>
          <w:sz w:val="18"/>
        </w:rPr>
        <w:t>Таблица 1. Затухание косинусного сходства срезов с расстоянием.</w:t>
      </w:r>
    </w:p>
    <w:p>
      <w:pPr>
        <w:jc w:val="center"/>
      </w:pPr>
      <w:r>
        <w:drawing>
          <wp:inline xmlns:a="http://schemas.openxmlformats.org/drawingml/2006/main" xmlns:pic="http://schemas.openxmlformats.org/drawingml/2006/picture">
            <wp:extent cx="5486400" cy="2895600"/>
            <wp:docPr id="1" name="Picture 1"/>
            <wp:cNvGraphicFramePr>
              <a:graphicFrameLocks noChangeAspect="1"/>
            </wp:cNvGraphicFramePr>
            <a:graphic>
              <a:graphicData uri="http://schemas.openxmlformats.org/drawingml/2006/picture">
                <pic:pic>
                  <pic:nvPicPr>
                    <pic:cNvPr id="0" name="article4_chart_correlation_decay.png"/>
                    <pic:cNvPicPr/>
                  </pic:nvPicPr>
                  <pic:blipFill>
                    <a:blip r:embed="rId9"/>
                    <a:stretch>
                      <a:fillRect/>
                    </a:stretch>
                  </pic:blipFill>
                  <pic:spPr>
                    <a:xfrm>
                      <a:off x="0" y="0"/>
                      <a:ext cx="5486400" cy="2895600"/>
                    </a:xfrm>
                    <a:prstGeom prst="rect"/>
                  </pic:spPr>
                </pic:pic>
              </a:graphicData>
            </a:graphic>
          </wp:inline>
        </w:drawing>
      </w:r>
    </w:p>
    <w:p>
      <w:pPr>
        <w:jc w:val="center"/>
      </w:pPr>
      <w:r>
        <w:rPr>
          <w:rFonts w:ascii="Times New Roman" w:hAnsi="Times New Roman" w:eastAsia="Times New Roman"/>
          <w:b w:val="0"/>
          <w:i/>
          <w:sz w:val="18"/>
        </w:rPr>
        <w:t>Рисунок 1. Затухание косинусного сходства срезов с расстоянием: содержательный порядок против перемешанного.</w:t>
      </w:r>
    </w:p>
    <w:p>
      <w:pPr>
        <w:jc w:val="center"/>
      </w:pPr>
      <w:r>
        <w:drawing>
          <wp:inline xmlns:a="http://schemas.openxmlformats.org/drawingml/2006/main" xmlns:pic="http://schemas.openxmlformats.org/drawingml/2006/picture">
            <wp:extent cx="5760720" cy="3153679"/>
            <wp:docPr id="2" name="Picture 2"/>
            <wp:cNvGraphicFramePr>
              <a:graphicFrameLocks noChangeAspect="1"/>
            </wp:cNvGraphicFramePr>
            <a:graphic>
              <a:graphicData uri="http://schemas.openxmlformats.org/drawingml/2006/picture">
                <pic:pic>
                  <pic:nvPicPr>
                    <pic:cNvPr id="0" name="article4_chart_correlation_matrices.png"/>
                    <pic:cNvPicPr/>
                  </pic:nvPicPr>
                  <pic:blipFill>
                    <a:blip r:embed="rId10"/>
                    <a:stretch>
                      <a:fillRect/>
                    </a:stretch>
                  </pic:blipFill>
                  <pic:spPr>
                    <a:xfrm>
                      <a:off x="0" y="0"/>
                      <a:ext cx="5760720" cy="3153679"/>
                    </a:xfrm>
                    <a:prstGeom prst="rect"/>
                  </pic:spPr>
                </pic:pic>
              </a:graphicData>
            </a:graphic>
          </wp:inline>
        </w:drawing>
      </w:r>
    </w:p>
    <w:p>
      <w:pPr>
        <w:jc w:val="center"/>
      </w:pPr>
      <w:r>
        <w:rPr>
          <w:rFonts w:ascii="Times New Roman" w:hAnsi="Times New Roman" w:eastAsia="Times New Roman"/>
          <w:b w:val="0"/>
          <w:i/>
          <w:sz w:val="18"/>
        </w:rPr>
        <w:t>Рисунок 2. Матрицы попарного сходства срезов одного пациента: содержательный порядок (видна диагональная структура) и тот же набор срезов в перемешанном порядке.</w:t>
      </w:r>
    </w:p>
    <w:p>
      <w:pPr>
        <w:spacing w:before="160" w:after="60"/>
      </w:pPr>
      <w:r>
        <w:rPr>
          <w:rFonts w:ascii="Times New Roman" w:hAnsi="Times New Roman" w:eastAsia="Times New Roman"/>
          <w:b/>
          <w:i/>
          <w:sz w:val="18"/>
        </w:rPr>
        <w:t>Архитектуры сегментации</w:t>
      </w:r>
    </w:p>
    <w:p>
      <w:r>
        <w:rPr>
          <w:rFonts w:ascii="Times New Roman" w:hAnsi="Times New Roman" w:eastAsia="Times New Roman"/>
          <w:b w:val="0"/>
          <w:i w:val="0"/>
          <w:sz w:val="18"/>
        </w:rPr>
        <w:t>Базовая архитектура — компактный U-Net: свёрточный энкодер с последовательным увеличением числа каналов (32, 64, 128, 256) и уменьшением пространственного разрешения (max-pooling), и симметричный декодер, восстанавливающий разрешение транспонированными свёртками с объединением (skip-connections) признаков энкодера на соответствующем уровне разрешения — архитектура, предложенная для биомедицинской сегментации изображений (Ronneberger et al., 2015) [1]. Каждый свёрточный блок включает нормализацию по батчу (batch normalization) после каждой свёртки — на практике её отсутствие приводило к нестабильной сходимости при ограниченном бюджете обучения (подробнее — раздел «Устойчивость обучения и сравнение архитектур»).</w:t>
      </w:r>
    </w:p>
    <w:p>
      <w:r>
        <w:rPr>
          <w:rFonts w:ascii="Times New Roman" w:hAnsi="Times New Roman" w:eastAsia="Times New Roman"/>
          <w:b w:val="0"/>
          <w:i w:val="0"/>
          <w:sz w:val="18"/>
        </w:rPr>
        <w:t>Для проверки, насколько выводы специфичны для одной сети, сопоставлены девять архитектур: помимо базового U-Net — энкодер-декодер без skip-connections (ablation-baseline), Residual U-Net (He et al., 2016 [3]; Zhang et al., 2018 [4]), Attention U-Net (Oktay et al., 2018 [5]), SegNet (Badrinarayanan et al., 2015 [6], восстановление разрешения unpooling'ом по индексам max-pooling, а не skip-конкатенацией), FCN-8s (Long et al., 2015 [7], исторический предшественник U-Net — суммирование огрублённых предсказаний разных масштабов вместо конкатенации), MultiResUNet (Ibtehaz &amp; Rahman, 2020 [8], разработана специально для медицинской сегментации), DeepLabV3+ (Chen et al., 2018 [9], дилатированные свёртки и модуль ASPP вместо части понижающей дискретизации) и ResNet18-UNet — U-Net-декодер поверх энкодера ResNet18, предобученного на ImageNet (transfer learning, первая свёртка адаптирована под фактическое число входных каналов усреднением предобученных весов).</w:t>
      </w:r>
    </w:p>
    <w:p>
      <w:r>
        <w:rPr>
          <w:rFonts w:ascii="Times New Roman" w:hAnsi="Times New Roman" w:eastAsia="Times New Roman"/>
          <w:b w:val="0"/>
          <w:i w:val="0"/>
          <w:sz w:val="18"/>
        </w:rPr>
        <w:t>Последовательная структура смежных срезов представлена в «2.5D»-формате: N физически смежных по оси срезов подаются как ОТДЕЛЬНЫЕ ВХОДНЫЕ КАНАЛЫ одного тензора, а не усредняются заранее фиксированной формулой; первый свёрточный слой энкодера сам обучается весам для каждого канала-соседа. Мультимодальный вход (раздел «Повышение точности») представлен ТЕМ ЖЕ способом — отдельными входными каналами, по одному на модальность (FLAIR, T1, T1-постконтраст, T2) одного и того же среза.</w:t>
      </w:r>
    </w:p>
    <w:p>
      <w:pPr>
        <w:jc w:val="center"/>
      </w:pPr>
      <w:r>
        <w:rPr>
          <w:rFonts w:ascii="Times New Roman" w:hAnsi="Times New Roman" w:eastAsia="Times New Roman"/>
          <w:i/>
          <w:sz w:val="18"/>
        </w:rPr>
        <w:t>L = L_BCE(p, y) + L_Dice(p, y)</w:t>
      </w:r>
    </w:p>
    <w:p>
      <w:pPr>
        <w:jc w:val="center"/>
      </w:pPr>
      <w:r>
        <w:rPr>
          <w:rFonts w:ascii="Times New Roman" w:hAnsi="Times New Roman" w:eastAsia="Times New Roman"/>
          <w:i/>
          <w:sz w:val="18"/>
        </w:rPr>
        <w:t>L_Dice(p, y) = 1 - (2 * sum(p*y) + s) / (sum(p) + sum(y) + s)</w:t>
      </w:r>
    </w:p>
    <w:p>
      <w:r>
        <w:rPr>
          <w:rFonts w:ascii="Times New Roman" w:hAnsi="Times New Roman" w:eastAsia="Times New Roman"/>
          <w:b w:val="0"/>
          <w:i w:val="0"/>
          <w:sz w:val="18"/>
        </w:rPr>
        <w:t>Функция потерь — сумма бинарной перекрёстной энтропии (L_BCE) и мягкой версии потерь Дайса (L_Dice, s — сглаживающая константа), что устраняет известный недостаток чистой перекрёстной энтропии при сильном дисбалансе классов (Milletari et al., 2016) [2]. Итоговое качество оценивается коэффициентом Дайса:</w:t>
      </w:r>
    </w:p>
    <w:p>
      <w:pPr>
        <w:jc w:val="center"/>
      </w:pPr>
      <w:r>
        <w:rPr>
          <w:rFonts w:ascii="Times New Roman" w:hAnsi="Times New Roman" w:eastAsia="Times New Roman"/>
          <w:i/>
          <w:sz w:val="18"/>
        </w:rPr>
        <w:t>Dice(P, Y) = 2 * |P ∩ Y| / (|P| + |Y|)</w:t>
      </w:r>
    </w:p>
    <w:p>
      <w:r>
        <w:rPr>
          <w:rFonts w:ascii="Times New Roman" w:hAnsi="Times New Roman" w:eastAsia="Times New Roman"/>
          <w:b w:val="0"/>
          <w:i w:val="0"/>
          <w:sz w:val="18"/>
        </w:rPr>
        <w:t>где P — предсказанная бинарная маска (после порога 0.5 по вероятности), Y — истинная маска. Для оценки статистической надёжности точечных оценок precision/recall используется 95%-доверительный интервал Уилсона для биномиальной доли — корректная оценка неопределённости для долей, не требующая предположения о нормальности распределения, устойчивая при значениях доли, близких к 0 или 1.</w:t>
      </w:r>
    </w:p>
    <w:p>
      <w:pPr>
        <w:spacing w:before="200" w:after="80"/>
      </w:pPr>
      <w:r>
        <w:rPr>
          <w:rFonts w:ascii="Times New Roman" w:hAnsi="Times New Roman" w:eastAsia="Times New Roman"/>
          <w:b/>
          <w:sz w:val="22"/>
        </w:rPr>
        <w:t>Описание эксперимента</w:t>
      </w:r>
    </w:p>
    <w:p>
      <w:r>
        <w:rPr>
          <w:rFonts w:ascii="Times New Roman" w:hAnsi="Times New Roman" w:eastAsia="Times New Roman"/>
          <w:b w:val="0"/>
          <w:i w:val="0"/>
          <w:sz w:val="18"/>
        </w:rPr>
        <w:t>Датасет: набор BraTS2020, 160 пациентов, срезы с сохранённым физическим порядком по оси среза. Для каждого среза используются ЧЕТЫРЕ МРТ-модальности одного исследования: FLAIR (наибольший контраст отёка/опухоли), T1 (нативная T1-взвешенная), T1-постконтраст (T1 с контрастным усилением, чувствительна к активно накапливающей контраст части опухоли) и T2 (T2-взвешенная) — явное указание используемых модальностей приводится здесь по прямому требованию медицинского рецензента исследования.</w:t>
      </w:r>
    </w:p>
    <w:p>
      <w:pPr>
        <w:spacing w:before="160" w:after="60"/>
      </w:pPr>
      <w:r>
        <w:rPr>
          <w:rFonts w:ascii="Times New Roman" w:hAnsi="Times New Roman" w:eastAsia="Times New Roman"/>
          <w:b/>
          <w:i/>
          <w:sz w:val="18"/>
        </w:rPr>
        <w:t>Подготовка данных: от NIfTI к PNG</w:t>
      </w:r>
    </w:p>
    <w:p>
      <w:r>
        <w:rPr>
          <w:rFonts w:ascii="Times New Roman" w:hAnsi="Times New Roman" w:eastAsia="Times New Roman"/>
          <w:b w:val="0"/>
          <w:i w:val="0"/>
          <w:sz w:val="18"/>
        </w:rPr>
        <w:t>Исходные данные BraTS2020 хранятся как трёхмерные объёмы (формат NIfTI, один файл на пациента на модальность плюс отдельный файл экспертной разметки) размером 240x240x155 вокселей. Для каждого пациента: (1) отбор срезов по оси — доля ненулевых («мозговых») вокселей не ниже 2%; (2) нормализация яркости в 8-битный формат — обрезка по 1-му/99-му перцентилям ненулевых вокселей и линейное масштабирование в [0, 255]; (3) приведение к единому размеру (интерполяция Lanczos); (4) подавление фона — пиксели ниже порога (10 из 255) обнуляются; (5) центрирование содержимого циклическим сдвигом по вычисленной по числу «пустых» строк/столбцов величине; (6) сохранение в PNG с именем, кодирующим идентификатор пациента и номер среза с ведущими нулями — сохраняет физический порядок срезов при сортировке по имени файла. Маска опухоли и ТРИ дополнительные модальности (T1, T1-постконтраст, T2) проходят ТОТ ЖЕ геометрический путь (resize, подавление фона, центрирование), но со сдвигом центрирования, ВЫЧИСЛЕННЫМ ПО FLAIR одного и того же среза, а не заново по каждой модальности — это гарантирует пиксельное совпадение всех модальностей и маски между собой.</w:t>
      </w:r>
    </w:p>
    <w:p>
      <w:pPr>
        <w:jc w:val="center"/>
      </w:pPr>
      <w:r>
        <w:drawing>
          <wp:inline xmlns:a="http://schemas.openxmlformats.org/drawingml/2006/main" xmlns:pic="http://schemas.openxmlformats.org/drawingml/2006/picture">
            <wp:extent cx="5486400" cy="1848051"/>
            <wp:docPr id="3" name="Picture 3"/>
            <wp:cNvGraphicFramePr>
              <a:graphicFrameLocks noChangeAspect="1"/>
            </wp:cNvGraphicFramePr>
            <a:graphic>
              <a:graphicData uri="http://schemas.openxmlformats.org/drawingml/2006/picture">
                <pic:pic>
                  <pic:nvPicPr>
                    <pic:cNvPr id="0" name="article4_fig2_preprocessing.png"/>
                    <pic:cNvPicPr/>
                  </pic:nvPicPr>
                  <pic:blipFill>
                    <a:blip r:embed="rId11"/>
                    <a:stretch>
                      <a:fillRect/>
                    </a:stretch>
                  </pic:blipFill>
                  <pic:spPr>
                    <a:xfrm>
                      <a:off x="0" y="0"/>
                      <a:ext cx="5486400" cy="1848051"/>
                    </a:xfrm>
                    <a:prstGeom prst="rect"/>
                  </pic:spPr>
                </pic:pic>
              </a:graphicData>
            </a:graphic>
          </wp:inline>
        </w:drawing>
      </w:r>
    </w:p>
    <w:p>
      <w:pPr>
        <w:jc w:val="center"/>
      </w:pPr>
      <w:r>
        <w:rPr>
          <w:rFonts w:ascii="Times New Roman" w:hAnsi="Times New Roman" w:eastAsia="Times New Roman"/>
          <w:b w:val="0"/>
          <w:i/>
          <w:sz w:val="18"/>
        </w:rPr>
        <w:t>Рисунок 3. Пример среза после предобработки (слева), та же область с наложенной маской опухоли (в центре) и срез после полного цикла предобработки (справа).</w:t>
      </w:r>
    </w:p>
    <w:p>
      <w:r>
        <w:rPr>
          <w:rFonts w:ascii="Times New Roman" w:hAnsi="Times New Roman" w:eastAsia="Times New Roman"/>
          <w:b w:val="0"/>
          <w:i w:val="0"/>
          <w:sz w:val="18"/>
        </w:rPr>
        <w:t>Разбиение данных — случайный сплит ПО ИДЕНТИФИКАТОРУ ПАЦИЕНТА (128 пациентов на обучение, 32 пациента в held-out тест), чтобы срезы одного пациента никогда не попадали одновременно в обучающую и тестовую выборки — требование, прямо сформулированное медицинским рецензентом исследования (риск того, что модель запоминает конкретного пациента, а не признаки патологии, если смежные срезы одного исследования случайно разнесены между выборками).</w:t>
      </w:r>
    </w:p>
    <w:p>
      <w:r>
        <w:rPr>
          <w:rFonts w:ascii="Times New Roman" w:hAnsi="Times New Roman" w:eastAsia="Times New Roman"/>
          <w:b w:val="0"/>
          <w:i w:val="0"/>
          <w:sz w:val="18"/>
        </w:rPr>
        <w:t>Для проверки влияния последовательной структуры срезов сопоставлены три конфигурации: (1) без контекста (K=1, один входной канал); (2) физические соседи (K=5, стек из 5 физически смежных срезов как отдельных каналов); (3) случайные «соседи» (K=5, ТА ЖЕ обученная модель конфигурации 2, но соседи на входе заменены случайными срезами тестового набора — контроль того, что качество определяется именно физической смежностью, а не объёмом входной информации).</w:t>
      </w:r>
    </w:p>
    <w:p>
      <w:pPr>
        <w:spacing w:before="200" w:after="80"/>
      </w:pPr>
      <w:r>
        <w:rPr>
          <w:rFonts w:ascii="Times New Roman" w:hAnsi="Times New Roman" w:eastAsia="Times New Roman"/>
          <w:b/>
          <w:sz w:val="22"/>
        </w:rPr>
        <w:t>Результаты эксперимента</w:t>
      </w:r>
    </w:p>
    <w:p>
      <w:pPr>
        <w:spacing w:before="160" w:after="60"/>
      </w:pPr>
      <w:r>
        <w:rPr>
          <w:rFonts w:ascii="Times New Roman" w:hAnsi="Times New Roman" w:eastAsia="Times New Roman"/>
          <w:b/>
          <w:i/>
          <w:sz w:val="18"/>
        </w:rPr>
        <w:t>1. Контекст физически смежных срезов (гипотезы H1, H2)</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8"/>
              </w:rPr>
              <w:t>Конфигурация</w:t>
            </w:r>
          </w:p>
        </w:tc>
        <w:tc>
          <w:tcPr>
            <w:tcW w:type="dxa" w:w="2340"/>
          </w:tcPr>
          <w:p>
            <w:r/>
            <w:r>
              <w:rPr>
                <w:rFonts w:ascii="Times New Roman" w:hAnsi="Times New Roman" w:eastAsia="Times New Roman"/>
                <w:b/>
                <w:sz w:val="18"/>
              </w:rPr>
              <w:t>Dice, все срезы</w:t>
            </w:r>
          </w:p>
        </w:tc>
        <w:tc>
          <w:tcPr>
            <w:tcW w:type="dxa" w:w="2340"/>
          </w:tcPr>
          <w:p>
            <w:r/>
            <w:r>
              <w:rPr>
                <w:rFonts w:ascii="Times New Roman" w:hAnsi="Times New Roman" w:eastAsia="Times New Roman"/>
                <w:b/>
                <w:sz w:val="18"/>
              </w:rPr>
              <w:t>Dice, срезы с опухолью</w:t>
            </w:r>
          </w:p>
        </w:tc>
        <w:tc>
          <w:tcPr>
            <w:tcW w:type="dxa" w:w="2340"/>
          </w:tcPr>
          <w:p>
            <w:r/>
            <w:r>
              <w:rPr>
                <w:rFonts w:ascii="Times New Roman" w:hAnsi="Times New Roman" w:eastAsia="Times New Roman"/>
                <w:b/>
                <w:sz w:val="18"/>
              </w:rPr>
              <w:t>Пиксельная accuracy</w:t>
            </w:r>
          </w:p>
        </w:tc>
      </w:tr>
      <w:tr>
        <w:tc>
          <w:tcPr>
            <w:tcW w:type="dxa" w:w="2340"/>
          </w:tcPr>
          <w:p>
            <w:r/>
            <w:r>
              <w:rPr>
                <w:rFonts w:ascii="Times New Roman" w:hAnsi="Times New Roman" w:eastAsia="Times New Roman"/>
                <w:sz w:val="18"/>
              </w:rPr>
              <w:t>Без контекста (K=1)</w:t>
            </w:r>
          </w:p>
        </w:tc>
        <w:tc>
          <w:tcPr>
            <w:tcW w:type="dxa" w:w="2340"/>
          </w:tcPr>
          <w:p>
            <w:r/>
            <w:r>
              <w:rPr>
                <w:rFonts w:ascii="Times New Roman" w:hAnsi="Times New Roman" w:eastAsia="Times New Roman"/>
                <w:sz w:val="18"/>
              </w:rPr>
              <w:t>0.822</w:t>
            </w:r>
          </w:p>
        </w:tc>
        <w:tc>
          <w:tcPr>
            <w:tcW w:type="dxa" w:w="2340"/>
          </w:tcPr>
          <w:p>
            <w:r/>
            <w:r>
              <w:rPr>
                <w:rFonts w:ascii="Times New Roman" w:hAnsi="Times New Roman" w:eastAsia="Times New Roman"/>
                <w:sz w:val="18"/>
              </w:rPr>
              <w:t>0.676</w:t>
            </w:r>
          </w:p>
        </w:tc>
        <w:tc>
          <w:tcPr>
            <w:tcW w:type="dxa" w:w="2340"/>
          </w:tcPr>
          <w:p>
            <w:r/>
            <w:r>
              <w:rPr>
                <w:rFonts w:ascii="Times New Roman" w:hAnsi="Times New Roman" w:eastAsia="Times New Roman"/>
                <w:sz w:val="18"/>
              </w:rPr>
              <w:t>0.995</w:t>
            </w:r>
          </w:p>
        </w:tc>
      </w:tr>
      <w:tr>
        <w:tc>
          <w:tcPr>
            <w:tcW w:type="dxa" w:w="2340"/>
          </w:tcPr>
          <w:p>
            <w:r/>
            <w:r>
              <w:rPr>
                <w:rFonts w:ascii="Times New Roman" w:hAnsi="Times New Roman" w:eastAsia="Times New Roman"/>
                <w:sz w:val="18"/>
              </w:rPr>
              <w:t>Физические соседи (K=5)</w:t>
            </w:r>
          </w:p>
        </w:tc>
        <w:tc>
          <w:tcPr>
            <w:tcW w:type="dxa" w:w="2340"/>
          </w:tcPr>
          <w:p>
            <w:r/>
            <w:r>
              <w:rPr>
                <w:rFonts w:ascii="Times New Roman" w:hAnsi="Times New Roman" w:eastAsia="Times New Roman"/>
                <w:sz w:val="18"/>
              </w:rPr>
              <w:t>0.804</w:t>
            </w:r>
          </w:p>
        </w:tc>
        <w:tc>
          <w:tcPr>
            <w:tcW w:type="dxa" w:w="2340"/>
          </w:tcPr>
          <w:p>
            <w:r/>
            <w:r>
              <w:rPr>
                <w:rFonts w:ascii="Times New Roman" w:hAnsi="Times New Roman" w:eastAsia="Times New Roman"/>
                <w:sz w:val="18"/>
              </w:rPr>
              <w:t>0.625</w:t>
            </w:r>
          </w:p>
        </w:tc>
        <w:tc>
          <w:tcPr>
            <w:tcW w:type="dxa" w:w="2340"/>
          </w:tcPr>
          <w:p>
            <w:r/>
            <w:r>
              <w:rPr>
                <w:rFonts w:ascii="Times New Roman" w:hAnsi="Times New Roman" w:eastAsia="Times New Roman"/>
                <w:sz w:val="18"/>
              </w:rPr>
              <w:t>0.995</w:t>
            </w:r>
          </w:p>
        </w:tc>
      </w:tr>
      <w:tr>
        <w:tc>
          <w:tcPr>
            <w:tcW w:type="dxa" w:w="2340"/>
          </w:tcPr>
          <w:p>
            <w:r/>
            <w:r>
              <w:rPr>
                <w:rFonts w:ascii="Times New Roman" w:hAnsi="Times New Roman" w:eastAsia="Times New Roman"/>
                <w:sz w:val="18"/>
              </w:rPr>
              <w:t>Случайные «соседи» (K=5)</w:t>
            </w:r>
          </w:p>
        </w:tc>
        <w:tc>
          <w:tcPr>
            <w:tcW w:type="dxa" w:w="2340"/>
          </w:tcPr>
          <w:p>
            <w:r/>
            <w:r>
              <w:rPr>
                <w:rFonts w:ascii="Times New Roman" w:hAnsi="Times New Roman" w:eastAsia="Times New Roman"/>
                <w:sz w:val="18"/>
              </w:rPr>
              <w:t>0.503</w:t>
            </w:r>
          </w:p>
        </w:tc>
        <w:tc>
          <w:tcPr>
            <w:tcW w:type="dxa" w:w="2340"/>
          </w:tcPr>
          <w:p>
            <w:r/>
            <w:r>
              <w:rPr>
                <w:rFonts w:ascii="Times New Roman" w:hAnsi="Times New Roman" w:eastAsia="Times New Roman"/>
                <w:sz w:val="18"/>
              </w:rPr>
              <w:t>0.041</w:t>
            </w:r>
          </w:p>
        </w:tc>
        <w:tc>
          <w:tcPr>
            <w:tcW w:type="dxa" w:w="2340"/>
          </w:tcPr>
          <w:p>
            <w:r/>
            <w:r>
              <w:rPr>
                <w:rFonts w:ascii="Times New Roman" w:hAnsi="Times New Roman" w:eastAsia="Times New Roman"/>
                <w:sz w:val="18"/>
              </w:rPr>
              <w:t>0.987</w:t>
            </w:r>
          </w:p>
        </w:tc>
      </w:tr>
    </w:tbl>
    <w:p>
      <w:pPr>
        <w:jc w:val="center"/>
      </w:pPr>
      <w:r>
        <w:rPr>
          <w:rFonts w:ascii="Times New Roman" w:hAnsi="Times New Roman" w:eastAsia="Times New Roman"/>
          <w:b w:val="0"/>
          <w:i/>
          <w:sz w:val="18"/>
        </w:rPr>
        <w:t>Таблица 3. Качество сегментации по трём конфигурациям (mean Dice).</w:t>
      </w:r>
    </w:p>
    <w:p>
      <w:pPr>
        <w:jc w:val="center"/>
      </w:pPr>
      <w:r>
        <w:drawing>
          <wp:inline xmlns:a="http://schemas.openxmlformats.org/drawingml/2006/main" xmlns:pic="http://schemas.openxmlformats.org/drawingml/2006/picture">
            <wp:extent cx="5486400" cy="2895600"/>
            <wp:docPr id="4" name="Picture 4"/>
            <wp:cNvGraphicFramePr>
              <a:graphicFrameLocks noChangeAspect="1"/>
            </wp:cNvGraphicFramePr>
            <a:graphic>
              <a:graphicData uri="http://schemas.openxmlformats.org/drawingml/2006/picture">
                <pic:pic>
                  <pic:nvPicPr>
                    <pic:cNvPr id="0" name="article4_unet_chart_dice.png"/>
                    <pic:cNvPicPr/>
                  </pic:nvPicPr>
                  <pic:blipFill>
                    <a:blip r:embed="rId12"/>
                    <a:stretch>
                      <a:fillRect/>
                    </a:stretch>
                  </pic:blipFill>
                  <pic:spPr>
                    <a:xfrm>
                      <a:off x="0" y="0"/>
                      <a:ext cx="5486400" cy="2895600"/>
                    </a:xfrm>
                    <a:prstGeom prst="rect"/>
                  </pic:spPr>
                </pic:pic>
              </a:graphicData>
            </a:graphic>
          </wp:inline>
        </w:drawing>
      </w:r>
    </w:p>
    <w:p>
      <w:pPr>
        <w:jc w:val="center"/>
      </w:pPr>
      <w:r>
        <w:rPr>
          <w:rFonts w:ascii="Times New Roman" w:hAnsi="Times New Roman" w:eastAsia="Times New Roman"/>
          <w:b w:val="0"/>
          <w:i/>
          <w:sz w:val="18"/>
        </w:rPr>
        <w:t>Рисунок 4. Коэффициент Дайса (среднее и медиана) по трём конфигурациям.</w:t>
      </w:r>
    </w:p>
    <w:p>
      <w:pPr>
        <w:jc w:val="center"/>
      </w:pPr>
      <w:r>
        <w:drawing>
          <wp:inline xmlns:a="http://schemas.openxmlformats.org/drawingml/2006/main" xmlns:pic="http://schemas.openxmlformats.org/drawingml/2006/picture">
            <wp:extent cx="5486400" cy="2438400"/>
            <wp:docPr id="5" name="Picture 5"/>
            <wp:cNvGraphicFramePr>
              <a:graphicFrameLocks noChangeAspect="1"/>
            </wp:cNvGraphicFramePr>
            <a:graphic>
              <a:graphicData uri="http://schemas.openxmlformats.org/drawingml/2006/picture">
                <pic:pic>
                  <pic:nvPicPr>
                    <pic:cNvPr id="0" name="article4_unet_chart_pixel_accuracy.png"/>
                    <pic:cNvPicPr/>
                  </pic:nvPicPr>
                  <pic:blipFill>
                    <a:blip r:embed="rId13"/>
                    <a:stretch>
                      <a:fillRect/>
                    </a:stretch>
                  </pic:blipFill>
                  <pic:spPr>
                    <a:xfrm>
                      <a:off x="0" y="0"/>
                      <a:ext cx="5486400" cy="2438400"/>
                    </a:xfrm>
                    <a:prstGeom prst="rect"/>
                  </pic:spPr>
                </pic:pic>
              </a:graphicData>
            </a:graphic>
          </wp:inline>
        </w:drawing>
      </w:r>
    </w:p>
    <w:p>
      <w:pPr>
        <w:jc w:val="center"/>
      </w:pPr>
      <w:r>
        <w:rPr>
          <w:rFonts w:ascii="Times New Roman" w:hAnsi="Times New Roman" w:eastAsia="Times New Roman"/>
          <w:b w:val="0"/>
          <w:i/>
          <w:sz w:val="18"/>
        </w:rPr>
        <w:t>Рисунок 5. Пиксельная accuracy по тем же конфигурациям — почти не различается, несмотря на десятки процентных пунктов разницы в Dice на срезах с опухолью.</w:t>
      </w:r>
    </w:p>
    <w:p>
      <w:r>
        <w:rPr>
          <w:rFonts w:ascii="Times New Roman" w:hAnsi="Times New Roman" w:eastAsia="Times New Roman"/>
          <w:b w:val="0"/>
          <w:i w:val="0"/>
          <w:sz w:val="18"/>
        </w:rPr>
        <w:t>На этом конкретном разбиении (seed=42) mean Dice (срезы с опухолью) конфигурации «физические соседи» (62.5%) НЕ превышает конфигурацию «без контекста» (67.6%). Этот результат рассматривается ТОЛЬКО как иллюстрация на одном разбиении — статистическая надёжность вывода проверяется ниже по нескольким независимым разбиениям (раздел «Устойчивость по нескольким разбиениям»), поскольку единственная точка недостаточна для содержательного вывода (требование медицинского рецензента).</w:t>
      </w:r>
    </w:p>
    <w:p>
      <w:pPr>
        <w:spacing w:before="160" w:after="60"/>
      </w:pPr>
      <w:r>
        <w:rPr>
          <w:rFonts w:ascii="Times New Roman" w:hAnsi="Times New Roman" w:eastAsia="Times New Roman"/>
          <w:b/>
          <w:i/>
          <w:sz w:val="18"/>
        </w:rPr>
        <w:t>2. Confusion matrix и доверительные интервалы</w:t>
      </w:r>
    </w:p>
    <w:p>
      <w:r>
        <w:rPr>
          <w:rFonts w:ascii="Times New Roman" w:hAnsi="Times New Roman" w:eastAsia="Times New Roman"/>
          <w:b w:val="0"/>
          <w:i w:val="0"/>
          <w:sz w:val="18"/>
        </w:rPr>
        <w:t>По требованию медицинского рецензента приводится не только агрегированная точность, но и прямая разбивка ошибок — сколько срезов с опухолью обнаружено/пропущено, и сколько срезов без опухоли классифицировано верно/ошибочно (детекция присутствия опухоли на срезе — предсказан ли хотя бы один пиксель опухоли), вместе с 95%-доверительными интервалами Уилсона.</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8"/>
              </w:rPr>
              <w:t>Конфигурация</w:t>
            </w:r>
          </w:p>
        </w:tc>
        <w:tc>
          <w:tcPr>
            <w:tcW w:type="dxa" w:w="1872"/>
          </w:tcPr>
          <w:p>
            <w:r/>
            <w:r>
              <w:rPr>
                <w:rFonts w:ascii="Times New Roman" w:hAnsi="Times New Roman" w:eastAsia="Times New Roman"/>
                <w:b/>
                <w:sz w:val="18"/>
              </w:rPr>
              <w:t>TP (нашли)</w:t>
            </w:r>
          </w:p>
        </w:tc>
        <w:tc>
          <w:tcPr>
            <w:tcW w:type="dxa" w:w="1872"/>
          </w:tcPr>
          <w:p>
            <w:r/>
            <w:r>
              <w:rPr>
                <w:rFonts w:ascii="Times New Roman" w:hAnsi="Times New Roman" w:eastAsia="Times New Roman"/>
                <w:b/>
                <w:sz w:val="18"/>
              </w:rPr>
              <w:t>FP (ложная тревога)</w:t>
            </w:r>
          </w:p>
        </w:tc>
        <w:tc>
          <w:tcPr>
            <w:tcW w:type="dxa" w:w="1872"/>
          </w:tcPr>
          <w:p>
            <w:r/>
            <w:r>
              <w:rPr>
                <w:rFonts w:ascii="Times New Roman" w:hAnsi="Times New Roman" w:eastAsia="Times New Roman"/>
                <w:b/>
                <w:sz w:val="18"/>
              </w:rPr>
              <w:t>FN (пропустили)</w:t>
            </w:r>
          </w:p>
        </w:tc>
        <w:tc>
          <w:tcPr>
            <w:tcW w:type="dxa" w:w="1872"/>
          </w:tcPr>
          <w:p>
            <w:r/>
            <w:r>
              <w:rPr>
                <w:rFonts w:ascii="Times New Roman" w:hAnsi="Times New Roman" w:eastAsia="Times New Roman"/>
                <w:b/>
                <w:sz w:val="18"/>
              </w:rPr>
              <w:t>TN (верно: нет опухоли)</w:t>
            </w:r>
          </w:p>
        </w:tc>
      </w:tr>
      <w:tr>
        <w:tc>
          <w:tcPr>
            <w:tcW w:type="dxa" w:w="1872"/>
          </w:tcPr>
          <w:p>
            <w:r/>
            <w:r>
              <w:rPr>
                <w:rFonts w:ascii="Times New Roman" w:hAnsi="Times New Roman" w:eastAsia="Times New Roman"/>
                <w:sz w:val="18"/>
              </w:rPr>
              <w:t>Без контекста (K=1)</w:t>
            </w:r>
          </w:p>
        </w:tc>
        <w:tc>
          <w:tcPr>
            <w:tcW w:type="dxa" w:w="1872"/>
          </w:tcPr>
          <w:p>
            <w:r/>
            <w:r>
              <w:rPr>
                <w:rFonts w:ascii="Times New Roman" w:hAnsi="Times New Roman" w:eastAsia="Times New Roman"/>
                <w:sz w:val="18"/>
              </w:rPr>
              <w:t>1752</w:t>
            </w:r>
          </w:p>
        </w:tc>
        <w:tc>
          <w:tcPr>
            <w:tcW w:type="dxa" w:w="1872"/>
          </w:tcPr>
          <w:p>
            <w:r/>
            <w:r>
              <w:rPr>
                <w:rFonts w:ascii="Times New Roman" w:hAnsi="Times New Roman" w:eastAsia="Times New Roman"/>
                <w:sz w:val="18"/>
              </w:rPr>
              <w:t>52</w:t>
            </w:r>
          </w:p>
        </w:tc>
        <w:tc>
          <w:tcPr>
            <w:tcW w:type="dxa" w:w="1872"/>
          </w:tcPr>
          <w:p>
            <w:r/>
            <w:r>
              <w:rPr>
                <w:rFonts w:ascii="Times New Roman" w:hAnsi="Times New Roman" w:eastAsia="Times New Roman"/>
                <w:sz w:val="18"/>
              </w:rPr>
              <w:t>394</w:t>
            </w:r>
          </w:p>
        </w:tc>
        <w:tc>
          <w:tcPr>
            <w:tcW w:type="dxa" w:w="1872"/>
          </w:tcPr>
          <w:p>
            <w:r/>
            <w:r>
              <w:rPr>
                <w:rFonts w:ascii="Times New Roman" w:hAnsi="Times New Roman" w:eastAsia="Times New Roman"/>
                <w:sz w:val="18"/>
              </w:rPr>
              <w:t>1979</w:t>
            </w:r>
          </w:p>
        </w:tc>
      </w:tr>
      <w:tr>
        <w:tc>
          <w:tcPr>
            <w:tcW w:type="dxa" w:w="1872"/>
          </w:tcPr>
          <w:p>
            <w:r/>
            <w:r>
              <w:rPr>
                <w:rFonts w:ascii="Times New Roman" w:hAnsi="Times New Roman" w:eastAsia="Times New Roman"/>
                <w:sz w:val="18"/>
              </w:rPr>
              <w:t>Физические соседи (K=5)</w:t>
            </w:r>
          </w:p>
        </w:tc>
        <w:tc>
          <w:tcPr>
            <w:tcW w:type="dxa" w:w="1872"/>
          </w:tcPr>
          <w:p>
            <w:r/>
            <w:r>
              <w:rPr>
                <w:rFonts w:ascii="Times New Roman" w:hAnsi="Times New Roman" w:eastAsia="Times New Roman"/>
                <w:sz w:val="18"/>
              </w:rPr>
              <w:t>1653</w:t>
            </w:r>
          </w:p>
        </w:tc>
        <w:tc>
          <w:tcPr>
            <w:tcW w:type="dxa" w:w="1872"/>
          </w:tcPr>
          <w:p>
            <w:r/>
            <w:r>
              <w:rPr>
                <w:rFonts w:ascii="Times New Roman" w:hAnsi="Times New Roman" w:eastAsia="Times New Roman"/>
                <w:sz w:val="18"/>
              </w:rPr>
              <w:t>16</w:t>
            </w:r>
          </w:p>
        </w:tc>
        <w:tc>
          <w:tcPr>
            <w:tcW w:type="dxa" w:w="1872"/>
          </w:tcPr>
          <w:p>
            <w:r/>
            <w:r>
              <w:rPr>
                <w:rFonts w:ascii="Times New Roman" w:hAnsi="Times New Roman" w:eastAsia="Times New Roman"/>
                <w:sz w:val="18"/>
              </w:rPr>
              <w:t>493</w:t>
            </w:r>
          </w:p>
        </w:tc>
        <w:tc>
          <w:tcPr>
            <w:tcW w:type="dxa" w:w="1872"/>
          </w:tcPr>
          <w:p>
            <w:r/>
            <w:r>
              <w:rPr>
                <w:rFonts w:ascii="Times New Roman" w:hAnsi="Times New Roman" w:eastAsia="Times New Roman"/>
                <w:sz w:val="18"/>
              </w:rPr>
              <w:t>2015</w:t>
            </w:r>
          </w:p>
        </w:tc>
      </w:tr>
      <w:tr>
        <w:tc>
          <w:tcPr>
            <w:tcW w:type="dxa" w:w="1872"/>
          </w:tcPr>
          <w:p>
            <w:r/>
            <w:r>
              <w:rPr>
                <w:rFonts w:ascii="Times New Roman" w:hAnsi="Times New Roman" w:eastAsia="Times New Roman"/>
                <w:sz w:val="18"/>
              </w:rPr>
              <w:t>Случайные «соседи» (K=5)</w:t>
            </w:r>
          </w:p>
        </w:tc>
        <w:tc>
          <w:tcPr>
            <w:tcW w:type="dxa" w:w="1872"/>
          </w:tcPr>
          <w:p>
            <w:r/>
            <w:r>
              <w:rPr>
                <w:rFonts w:ascii="Times New Roman" w:hAnsi="Times New Roman" w:eastAsia="Times New Roman"/>
                <w:sz w:val="18"/>
              </w:rPr>
              <w:t>33</w:t>
            </w:r>
          </w:p>
        </w:tc>
        <w:tc>
          <w:tcPr>
            <w:tcW w:type="dxa" w:w="1872"/>
          </w:tcPr>
          <w:p>
            <w:r/>
            <w:r>
              <w:rPr>
                <w:rFonts w:ascii="Times New Roman" w:hAnsi="Times New Roman" w:eastAsia="Times New Roman"/>
                <w:sz w:val="18"/>
              </w:rPr>
              <w:t>19</w:t>
            </w:r>
          </w:p>
        </w:tc>
        <w:tc>
          <w:tcPr>
            <w:tcW w:type="dxa" w:w="1872"/>
          </w:tcPr>
          <w:p>
            <w:r/>
            <w:r>
              <w:rPr>
                <w:rFonts w:ascii="Times New Roman" w:hAnsi="Times New Roman" w:eastAsia="Times New Roman"/>
                <w:sz w:val="18"/>
              </w:rPr>
              <w:t>2113</w:t>
            </w:r>
          </w:p>
        </w:tc>
        <w:tc>
          <w:tcPr>
            <w:tcW w:type="dxa" w:w="1872"/>
          </w:tcPr>
          <w:p>
            <w:r/>
            <w:r>
              <w:rPr>
                <w:rFonts w:ascii="Times New Roman" w:hAnsi="Times New Roman" w:eastAsia="Times New Roman"/>
                <w:sz w:val="18"/>
              </w:rPr>
              <w:t>2012</w:t>
            </w:r>
          </w:p>
        </w:tc>
      </w:tr>
    </w:tbl>
    <w:p>
      <w:pPr>
        <w:jc w:val="center"/>
      </w:pPr>
      <w:r>
        <w:rPr>
          <w:rFonts w:ascii="Times New Roman" w:hAnsi="Times New Roman" w:eastAsia="Times New Roman"/>
          <w:b w:val="0"/>
          <w:i/>
          <w:sz w:val="18"/>
        </w:rPr>
        <w:t>Таблица 4. Confusion matrix детекции опухоли на срезе.</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8"/>
              </w:rPr>
              <w:t>Конфигурация</w:t>
            </w:r>
          </w:p>
        </w:tc>
        <w:tc>
          <w:tcPr>
            <w:tcW w:type="dxa" w:w="1872"/>
          </w:tcPr>
          <w:p>
            <w:r/>
            <w:r>
              <w:rPr>
                <w:rFonts w:ascii="Times New Roman" w:hAnsi="Times New Roman" w:eastAsia="Times New Roman"/>
                <w:b/>
                <w:sz w:val="18"/>
              </w:rPr>
              <w:t>Detection recall CI95</w:t>
            </w:r>
          </w:p>
        </w:tc>
        <w:tc>
          <w:tcPr>
            <w:tcW w:type="dxa" w:w="1872"/>
          </w:tcPr>
          <w:p>
            <w:r/>
            <w:r>
              <w:rPr>
                <w:rFonts w:ascii="Times New Roman" w:hAnsi="Times New Roman" w:eastAsia="Times New Roman"/>
                <w:b/>
                <w:sz w:val="18"/>
              </w:rPr>
              <w:t>Detection precision CI95</w:t>
            </w:r>
          </w:p>
        </w:tc>
        <w:tc>
          <w:tcPr>
            <w:tcW w:type="dxa" w:w="1872"/>
          </w:tcPr>
          <w:p>
            <w:r/>
            <w:r>
              <w:rPr>
                <w:rFonts w:ascii="Times New Roman" w:hAnsi="Times New Roman" w:eastAsia="Times New Roman"/>
                <w:b/>
                <w:sz w:val="18"/>
              </w:rPr>
              <w:t>Pixel recall CI95</w:t>
            </w:r>
          </w:p>
        </w:tc>
        <w:tc>
          <w:tcPr>
            <w:tcW w:type="dxa" w:w="1872"/>
          </w:tcPr>
          <w:p>
            <w:r/>
            <w:r>
              <w:rPr>
                <w:rFonts w:ascii="Times New Roman" w:hAnsi="Times New Roman" w:eastAsia="Times New Roman"/>
                <w:b/>
                <w:sz w:val="18"/>
              </w:rPr>
              <w:t>Pixel precision CI95</w:t>
            </w:r>
          </w:p>
        </w:tc>
      </w:tr>
      <w:tr>
        <w:tc>
          <w:tcPr>
            <w:tcW w:type="dxa" w:w="1872"/>
          </w:tcPr>
          <w:p>
            <w:r/>
            <w:r>
              <w:rPr>
                <w:rFonts w:ascii="Times New Roman" w:hAnsi="Times New Roman" w:eastAsia="Times New Roman"/>
                <w:sz w:val="18"/>
              </w:rPr>
              <w:t>Без контекста (K=1)</w:t>
            </w:r>
          </w:p>
        </w:tc>
        <w:tc>
          <w:tcPr>
            <w:tcW w:type="dxa" w:w="1872"/>
          </w:tcPr>
          <w:p>
            <w:r/>
            <w:r>
              <w:rPr>
                <w:rFonts w:ascii="Times New Roman" w:hAnsi="Times New Roman" w:eastAsia="Times New Roman"/>
                <w:sz w:val="18"/>
              </w:rPr>
              <w:t>[79.9%, 83.2%]</w:t>
            </w:r>
          </w:p>
        </w:tc>
        <w:tc>
          <w:tcPr>
            <w:tcW w:type="dxa" w:w="1872"/>
          </w:tcPr>
          <w:p>
            <w:r/>
            <w:r>
              <w:rPr>
                <w:rFonts w:ascii="Times New Roman" w:hAnsi="Times New Roman" w:eastAsia="Times New Roman"/>
                <w:sz w:val="18"/>
              </w:rPr>
              <w:t>[96.2%, 97.8%]</w:t>
            </w:r>
          </w:p>
        </w:tc>
        <w:tc>
          <w:tcPr>
            <w:tcW w:type="dxa" w:w="1872"/>
          </w:tcPr>
          <w:p>
            <w:r/>
            <w:r>
              <w:rPr>
                <w:rFonts w:ascii="Times New Roman" w:hAnsi="Times New Roman" w:eastAsia="Times New Roman"/>
                <w:sz w:val="18"/>
              </w:rPr>
              <w:t>[73.1%, 73.4%]</w:t>
            </w:r>
          </w:p>
        </w:tc>
        <w:tc>
          <w:tcPr>
            <w:tcW w:type="dxa" w:w="1872"/>
          </w:tcPr>
          <w:p>
            <w:r/>
            <w:r>
              <w:rPr>
                <w:rFonts w:ascii="Times New Roman" w:hAnsi="Times New Roman" w:eastAsia="Times New Roman"/>
                <w:sz w:val="18"/>
              </w:rPr>
              <w:t>[89.1%, 89.3%]</w:t>
            </w:r>
          </w:p>
        </w:tc>
      </w:tr>
      <w:tr>
        <w:tc>
          <w:tcPr>
            <w:tcW w:type="dxa" w:w="1872"/>
          </w:tcPr>
          <w:p>
            <w:r/>
            <w:r>
              <w:rPr>
                <w:rFonts w:ascii="Times New Roman" w:hAnsi="Times New Roman" w:eastAsia="Times New Roman"/>
                <w:sz w:val="18"/>
              </w:rPr>
              <w:t>Физические соседи (K=5)</w:t>
            </w:r>
          </w:p>
        </w:tc>
        <w:tc>
          <w:tcPr>
            <w:tcW w:type="dxa" w:w="1872"/>
          </w:tcPr>
          <w:p>
            <w:r/>
            <w:r>
              <w:rPr>
                <w:rFonts w:ascii="Times New Roman" w:hAnsi="Times New Roman" w:eastAsia="Times New Roman"/>
                <w:sz w:val="18"/>
              </w:rPr>
              <w:t>[75.2%, 78.8%]</w:t>
            </w:r>
          </w:p>
        </w:tc>
        <w:tc>
          <w:tcPr>
            <w:tcW w:type="dxa" w:w="1872"/>
          </w:tcPr>
          <w:p>
            <w:r/>
            <w:r>
              <w:rPr>
                <w:rFonts w:ascii="Times New Roman" w:hAnsi="Times New Roman" w:eastAsia="Times New Roman"/>
                <w:sz w:val="18"/>
              </w:rPr>
              <w:t>[98.4%, 99.4%]</w:t>
            </w:r>
          </w:p>
        </w:tc>
        <w:tc>
          <w:tcPr>
            <w:tcW w:type="dxa" w:w="1872"/>
          </w:tcPr>
          <w:p>
            <w:r/>
            <w:r>
              <w:rPr>
                <w:rFonts w:ascii="Times New Roman" w:hAnsi="Times New Roman" w:eastAsia="Times New Roman"/>
                <w:sz w:val="18"/>
              </w:rPr>
              <w:t>[68.1%, 68.4%]</w:t>
            </w:r>
          </w:p>
        </w:tc>
        <w:tc>
          <w:tcPr>
            <w:tcW w:type="dxa" w:w="1872"/>
          </w:tcPr>
          <w:p>
            <w:r/>
            <w:r>
              <w:rPr>
                <w:rFonts w:ascii="Times New Roman" w:hAnsi="Times New Roman" w:eastAsia="Times New Roman"/>
                <w:sz w:val="18"/>
              </w:rPr>
              <w:t>[91.8%, 92.0%]</w:t>
            </w:r>
          </w:p>
        </w:tc>
      </w:tr>
      <w:tr>
        <w:tc>
          <w:tcPr>
            <w:tcW w:type="dxa" w:w="1872"/>
          </w:tcPr>
          <w:p>
            <w:r/>
            <w:r>
              <w:rPr>
                <w:rFonts w:ascii="Times New Roman" w:hAnsi="Times New Roman" w:eastAsia="Times New Roman"/>
                <w:sz w:val="18"/>
              </w:rPr>
              <w:t>Случайные «соседи» (K=5)</w:t>
            </w:r>
          </w:p>
        </w:tc>
        <w:tc>
          <w:tcPr>
            <w:tcW w:type="dxa" w:w="1872"/>
          </w:tcPr>
          <w:p>
            <w:r/>
            <w:r>
              <w:rPr>
                <w:rFonts w:ascii="Times New Roman" w:hAnsi="Times New Roman" w:eastAsia="Times New Roman"/>
                <w:sz w:val="18"/>
              </w:rPr>
              <w:t>[1.1%, 2.2%]</w:t>
            </w:r>
          </w:p>
        </w:tc>
        <w:tc>
          <w:tcPr>
            <w:tcW w:type="dxa" w:w="1872"/>
          </w:tcPr>
          <w:p>
            <w:r/>
            <w:r>
              <w:rPr>
                <w:rFonts w:ascii="Times New Roman" w:hAnsi="Times New Roman" w:eastAsia="Times New Roman"/>
                <w:sz w:val="18"/>
              </w:rPr>
              <w:t>[49.9%, 75.2%]</w:t>
            </w:r>
          </w:p>
        </w:tc>
        <w:tc>
          <w:tcPr>
            <w:tcW w:type="dxa" w:w="1872"/>
          </w:tcPr>
          <w:p>
            <w:r/>
            <w:r>
              <w:rPr>
                <w:rFonts w:ascii="Times New Roman" w:hAnsi="Times New Roman" w:eastAsia="Times New Roman"/>
                <w:sz w:val="18"/>
              </w:rPr>
              <w:t>[0.3%, 0.4%]</w:t>
            </w:r>
          </w:p>
        </w:tc>
        <w:tc>
          <w:tcPr>
            <w:tcW w:type="dxa" w:w="1872"/>
          </w:tcPr>
          <w:p>
            <w:r/>
            <w:r>
              <w:rPr>
                <w:rFonts w:ascii="Times New Roman" w:hAnsi="Times New Roman" w:eastAsia="Times New Roman"/>
                <w:sz w:val="18"/>
              </w:rPr>
              <w:t>[44.8%, 47.9%]</w:t>
            </w:r>
          </w:p>
        </w:tc>
      </w:tr>
    </w:tbl>
    <w:p>
      <w:pPr>
        <w:jc w:val="center"/>
      </w:pPr>
      <w:r>
        <w:rPr>
          <w:rFonts w:ascii="Times New Roman" w:hAnsi="Times New Roman" w:eastAsia="Times New Roman"/>
          <w:b w:val="0"/>
          <w:i/>
          <w:sz w:val="18"/>
        </w:rPr>
        <w:t>Таблица 5. 95%-доверительные интервалы Уилсона для ключевых долей.</w:t>
      </w:r>
    </w:p>
    <w:p>
      <w:pPr>
        <w:spacing w:before="160" w:after="60"/>
      </w:pPr>
      <w:r>
        <w:rPr>
          <w:rFonts w:ascii="Times New Roman" w:hAnsi="Times New Roman" w:eastAsia="Times New Roman"/>
          <w:b/>
          <w:i/>
          <w:sz w:val="18"/>
        </w:rPr>
        <w:t>Качественные примеры</w:t>
      </w:r>
    </w:p>
    <w:p>
      <w:pPr>
        <w:jc w:val="center"/>
      </w:pPr>
      <w:r>
        <w:drawing>
          <wp:inline xmlns:a="http://schemas.openxmlformats.org/drawingml/2006/main" xmlns:pic="http://schemas.openxmlformats.org/drawingml/2006/picture">
            <wp:extent cx="5760720" cy="3792557"/>
            <wp:docPr id="6" name="Picture 6"/>
            <wp:cNvGraphicFramePr>
              <a:graphicFrameLocks noChangeAspect="1"/>
            </wp:cNvGraphicFramePr>
            <a:graphic>
              <a:graphicData uri="http://schemas.openxmlformats.org/drawingml/2006/picture">
                <pic:pic>
                  <pic:nvPicPr>
                    <pic:cNvPr id="0" name="article4_unet_fig_examples.png"/>
                    <pic:cNvPicPr/>
                  </pic:nvPicPr>
                  <pic:blipFill>
                    <a:blip r:embed="rId14"/>
                    <a:stretch>
                      <a:fillRect/>
                    </a:stretch>
                  </pic:blipFill>
                  <pic:spPr>
                    <a:xfrm>
                      <a:off x="0" y="0"/>
                      <a:ext cx="5760720" cy="3792557"/>
                    </a:xfrm>
                    <a:prstGeom prst="rect"/>
                  </pic:spPr>
                </pic:pic>
              </a:graphicData>
            </a:graphic>
          </wp:inline>
        </w:drawing>
      </w:r>
    </w:p>
    <w:p>
      <w:pPr>
        <w:jc w:val="center"/>
      </w:pPr>
      <w:r>
        <w:rPr>
          <w:rFonts w:ascii="Times New Roman" w:hAnsi="Times New Roman" w:eastAsia="Times New Roman"/>
          <w:b w:val="0"/>
          <w:i/>
          <w:sz w:val="18"/>
        </w:rPr>
        <w:t>Рисунок 6. Примеры сегментации для тестовых срезов с заметной площадью опухоли: исходный срез, экспертная разметка и предсказания трёх конфигураций.</w:t>
      </w:r>
    </w:p>
    <w:p>
      <w:pPr>
        <w:spacing w:before="160" w:after="60"/>
      </w:pPr>
      <w:r>
        <w:rPr>
          <w:rFonts w:ascii="Times New Roman" w:hAnsi="Times New Roman" w:eastAsia="Times New Roman"/>
          <w:b/>
          <w:i/>
          <w:sz w:val="18"/>
        </w:rPr>
        <w:t>3. Сравнение девяти архитектур</w:t>
      </w:r>
    </w:p>
    <w:p>
      <w:r>
        <w:rPr>
          <w:rFonts w:ascii="Times New Roman" w:hAnsi="Times New Roman" w:eastAsia="Times New Roman"/>
          <w:b w:val="0"/>
          <w:i w:val="0"/>
          <w:sz w:val="18"/>
        </w:rPr>
        <w:t>Все девять архитектур (раздел «Теория») обучены на одном и том же разбиении данных и с теми же гиперпараметрами, в конфигурации «физические соседи».</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8"/>
              </w:rPr>
              <w:t>Архитектура</w:t>
            </w:r>
          </w:p>
        </w:tc>
        <w:tc>
          <w:tcPr>
            <w:tcW w:type="dxa" w:w="1872"/>
          </w:tcPr>
          <w:p>
            <w:r/>
            <w:r>
              <w:rPr>
                <w:rFonts w:ascii="Times New Roman" w:hAnsi="Times New Roman" w:eastAsia="Times New Roman"/>
                <w:b/>
                <w:sz w:val="18"/>
              </w:rPr>
              <w:t>Dice, все срезы</w:t>
            </w:r>
          </w:p>
        </w:tc>
        <w:tc>
          <w:tcPr>
            <w:tcW w:type="dxa" w:w="1872"/>
          </w:tcPr>
          <w:p>
            <w:r/>
            <w:r>
              <w:rPr>
                <w:rFonts w:ascii="Times New Roman" w:hAnsi="Times New Roman" w:eastAsia="Times New Roman"/>
                <w:b/>
                <w:sz w:val="18"/>
              </w:rPr>
              <w:t>Dice, срезы с опухолью</w:t>
            </w:r>
          </w:p>
        </w:tc>
        <w:tc>
          <w:tcPr>
            <w:tcW w:type="dxa" w:w="1872"/>
          </w:tcPr>
          <w:p>
            <w:r/>
            <w:r>
              <w:rPr>
                <w:rFonts w:ascii="Times New Roman" w:hAnsi="Times New Roman" w:eastAsia="Times New Roman"/>
                <w:b/>
                <w:sz w:val="18"/>
              </w:rPr>
              <w:t>Параметров</w:t>
            </w:r>
          </w:p>
        </w:tc>
        <w:tc>
          <w:tcPr>
            <w:tcW w:type="dxa" w:w="1872"/>
          </w:tcPr>
          <w:p>
            <w:r/>
            <w:r>
              <w:rPr>
                <w:rFonts w:ascii="Times New Roman" w:hAnsi="Times New Roman" w:eastAsia="Times New Roman"/>
                <w:b/>
                <w:sz w:val="18"/>
              </w:rPr>
              <w:t>Время обучения</w:t>
            </w:r>
          </w:p>
        </w:tc>
      </w:tr>
      <w:tr>
        <w:tc>
          <w:tcPr>
            <w:tcW w:type="dxa" w:w="1872"/>
          </w:tcPr>
          <w:p>
            <w:r/>
            <w:r>
              <w:rPr>
                <w:rFonts w:ascii="Times New Roman" w:hAnsi="Times New Roman" w:eastAsia="Times New Roman"/>
                <w:sz w:val="18"/>
              </w:rPr>
              <w:t>U-Net (базовый)</w:t>
            </w:r>
          </w:p>
        </w:tc>
        <w:tc>
          <w:tcPr>
            <w:tcW w:type="dxa" w:w="1872"/>
          </w:tcPr>
          <w:p>
            <w:r/>
            <w:r>
              <w:rPr>
                <w:rFonts w:ascii="Times New Roman" w:hAnsi="Times New Roman" w:eastAsia="Times New Roman"/>
                <w:sz w:val="18"/>
              </w:rPr>
              <w:t>0.804</w:t>
            </w:r>
          </w:p>
        </w:tc>
        <w:tc>
          <w:tcPr>
            <w:tcW w:type="dxa" w:w="1872"/>
          </w:tcPr>
          <w:p>
            <w:r/>
            <w:r>
              <w:rPr>
                <w:rFonts w:ascii="Times New Roman" w:hAnsi="Times New Roman" w:eastAsia="Times New Roman"/>
                <w:sz w:val="18"/>
              </w:rPr>
              <w:t>0.625</w:t>
            </w:r>
          </w:p>
        </w:tc>
        <w:tc>
          <w:tcPr>
            <w:tcW w:type="dxa" w:w="1872"/>
          </w:tcPr>
          <w:p>
            <w:r/>
            <w:r>
              <w:rPr>
                <w:rFonts w:ascii="Times New Roman" w:hAnsi="Times New Roman" w:eastAsia="Times New Roman"/>
                <w:sz w:val="18"/>
              </w:rPr>
              <w:t>—</w:t>
            </w:r>
          </w:p>
        </w:tc>
        <w:tc>
          <w:tcPr>
            <w:tcW w:type="dxa" w:w="1872"/>
          </w:tcPr>
          <w:p>
            <w:r/>
            <w:r>
              <w:rPr>
                <w:rFonts w:ascii="Times New Roman" w:hAnsi="Times New Roman" w:eastAsia="Times New Roman"/>
                <w:sz w:val="18"/>
              </w:rPr>
              <w:t>112 с</w:t>
            </w:r>
          </w:p>
        </w:tc>
      </w:tr>
      <w:tr>
        <w:tc>
          <w:tcPr>
            <w:tcW w:type="dxa" w:w="1872"/>
          </w:tcPr>
          <w:p>
            <w:r/>
            <w:r>
              <w:rPr>
                <w:rFonts w:ascii="Times New Roman" w:hAnsi="Times New Roman" w:eastAsia="Times New Roman"/>
                <w:sz w:val="18"/>
              </w:rPr>
              <w:t>Plain encoder-decoder (без skip)</w:t>
            </w:r>
          </w:p>
        </w:tc>
        <w:tc>
          <w:tcPr>
            <w:tcW w:type="dxa" w:w="1872"/>
          </w:tcPr>
          <w:p>
            <w:r/>
            <w:r>
              <w:rPr>
                <w:rFonts w:ascii="Times New Roman" w:hAnsi="Times New Roman" w:eastAsia="Times New Roman"/>
                <w:sz w:val="18"/>
              </w:rPr>
              <w:t>0.773</w:t>
            </w:r>
          </w:p>
        </w:tc>
        <w:tc>
          <w:tcPr>
            <w:tcW w:type="dxa" w:w="1872"/>
          </w:tcPr>
          <w:p>
            <w:r/>
            <w:r>
              <w:rPr>
                <w:rFonts w:ascii="Times New Roman" w:hAnsi="Times New Roman" w:eastAsia="Times New Roman"/>
                <w:sz w:val="18"/>
              </w:rPr>
              <w:t>0.564</w:t>
            </w:r>
          </w:p>
        </w:tc>
        <w:tc>
          <w:tcPr>
            <w:tcW w:type="dxa" w:w="1872"/>
          </w:tcPr>
          <w:p>
            <w:r/>
            <w:r>
              <w:rPr>
                <w:rFonts w:ascii="Times New Roman" w:hAnsi="Times New Roman" w:eastAsia="Times New Roman"/>
                <w:sz w:val="18"/>
              </w:rPr>
              <w:t>1 735 457</w:t>
            </w:r>
          </w:p>
        </w:tc>
        <w:tc>
          <w:tcPr>
            <w:tcW w:type="dxa" w:w="1872"/>
          </w:tcPr>
          <w:p>
            <w:r/>
            <w:r>
              <w:rPr>
                <w:rFonts w:ascii="Times New Roman" w:hAnsi="Times New Roman" w:eastAsia="Times New Roman"/>
                <w:sz w:val="18"/>
              </w:rPr>
              <w:t>118 с</w:t>
            </w:r>
          </w:p>
        </w:tc>
      </w:tr>
      <w:tr>
        <w:tc>
          <w:tcPr>
            <w:tcW w:type="dxa" w:w="1872"/>
          </w:tcPr>
          <w:p>
            <w:r/>
            <w:r>
              <w:rPr>
                <w:rFonts w:ascii="Times New Roman" w:hAnsi="Times New Roman" w:eastAsia="Times New Roman"/>
                <w:sz w:val="18"/>
              </w:rPr>
              <w:t>Residual U-Net</w:t>
            </w:r>
          </w:p>
        </w:tc>
        <w:tc>
          <w:tcPr>
            <w:tcW w:type="dxa" w:w="1872"/>
          </w:tcPr>
          <w:p>
            <w:r/>
            <w:r>
              <w:rPr>
                <w:rFonts w:ascii="Times New Roman" w:hAnsi="Times New Roman" w:eastAsia="Times New Roman"/>
                <w:sz w:val="18"/>
              </w:rPr>
              <w:t>0.824</w:t>
            </w:r>
          </w:p>
        </w:tc>
        <w:tc>
          <w:tcPr>
            <w:tcW w:type="dxa" w:w="1872"/>
          </w:tcPr>
          <w:p>
            <w:r/>
            <w:r>
              <w:rPr>
                <w:rFonts w:ascii="Times New Roman" w:hAnsi="Times New Roman" w:eastAsia="Times New Roman"/>
                <w:sz w:val="18"/>
              </w:rPr>
              <w:t>0.678</w:t>
            </w:r>
          </w:p>
        </w:tc>
        <w:tc>
          <w:tcPr>
            <w:tcW w:type="dxa" w:w="1872"/>
          </w:tcPr>
          <w:p>
            <w:r/>
            <w:r>
              <w:rPr>
                <w:rFonts w:ascii="Times New Roman" w:hAnsi="Times New Roman" w:eastAsia="Times New Roman"/>
                <w:sz w:val="18"/>
              </w:rPr>
              <w:t>2 015 873</w:t>
            </w:r>
          </w:p>
        </w:tc>
        <w:tc>
          <w:tcPr>
            <w:tcW w:type="dxa" w:w="1872"/>
          </w:tcPr>
          <w:p>
            <w:r/>
            <w:r>
              <w:rPr>
                <w:rFonts w:ascii="Times New Roman" w:hAnsi="Times New Roman" w:eastAsia="Times New Roman"/>
                <w:sz w:val="18"/>
              </w:rPr>
              <w:t>135 с</w:t>
            </w:r>
          </w:p>
        </w:tc>
      </w:tr>
      <w:tr>
        <w:tc>
          <w:tcPr>
            <w:tcW w:type="dxa" w:w="1872"/>
          </w:tcPr>
          <w:p>
            <w:r/>
            <w:r>
              <w:rPr>
                <w:rFonts w:ascii="Times New Roman" w:hAnsi="Times New Roman" w:eastAsia="Times New Roman"/>
                <w:sz w:val="18"/>
              </w:rPr>
              <w:t>Attention U-Net</w:t>
            </w:r>
          </w:p>
        </w:tc>
        <w:tc>
          <w:tcPr>
            <w:tcW w:type="dxa" w:w="1872"/>
          </w:tcPr>
          <w:p>
            <w:r/>
            <w:r>
              <w:rPr>
                <w:rFonts w:ascii="Times New Roman" w:hAnsi="Times New Roman" w:eastAsia="Times New Roman"/>
                <w:sz w:val="18"/>
              </w:rPr>
              <w:t>0.827</w:t>
            </w:r>
          </w:p>
        </w:tc>
        <w:tc>
          <w:tcPr>
            <w:tcW w:type="dxa" w:w="1872"/>
          </w:tcPr>
          <w:p>
            <w:r/>
            <w:r>
              <w:rPr>
                <w:rFonts w:ascii="Times New Roman" w:hAnsi="Times New Roman" w:eastAsia="Times New Roman"/>
                <w:sz w:val="18"/>
              </w:rPr>
              <w:t>0.686</w:t>
            </w:r>
          </w:p>
        </w:tc>
        <w:tc>
          <w:tcPr>
            <w:tcW w:type="dxa" w:w="1872"/>
          </w:tcPr>
          <w:p>
            <w:r/>
            <w:r>
              <w:rPr>
                <w:rFonts w:ascii="Times New Roman" w:hAnsi="Times New Roman" w:eastAsia="Times New Roman"/>
                <w:sz w:val="18"/>
              </w:rPr>
              <w:t>1 951 284</w:t>
            </w:r>
          </w:p>
        </w:tc>
        <w:tc>
          <w:tcPr>
            <w:tcW w:type="dxa" w:w="1872"/>
          </w:tcPr>
          <w:p>
            <w:r/>
            <w:r>
              <w:rPr>
                <w:rFonts w:ascii="Times New Roman" w:hAnsi="Times New Roman" w:eastAsia="Times New Roman"/>
                <w:sz w:val="18"/>
              </w:rPr>
              <w:t>136 с</w:t>
            </w:r>
          </w:p>
        </w:tc>
      </w:tr>
      <w:tr>
        <w:tc>
          <w:tcPr>
            <w:tcW w:type="dxa" w:w="1872"/>
          </w:tcPr>
          <w:p>
            <w:r/>
            <w:r>
              <w:rPr>
                <w:rFonts w:ascii="Times New Roman" w:hAnsi="Times New Roman" w:eastAsia="Times New Roman"/>
                <w:sz w:val="18"/>
              </w:rPr>
              <w:t>SegNet</w:t>
            </w:r>
          </w:p>
        </w:tc>
        <w:tc>
          <w:tcPr>
            <w:tcW w:type="dxa" w:w="1872"/>
          </w:tcPr>
          <w:p>
            <w:r/>
            <w:r>
              <w:rPr>
                <w:rFonts w:ascii="Times New Roman" w:hAnsi="Times New Roman" w:eastAsia="Times New Roman"/>
                <w:sz w:val="18"/>
              </w:rPr>
              <w:t>0.796</w:t>
            </w:r>
          </w:p>
        </w:tc>
        <w:tc>
          <w:tcPr>
            <w:tcW w:type="dxa" w:w="1872"/>
          </w:tcPr>
          <w:p>
            <w:r/>
            <w:r>
              <w:rPr>
                <w:rFonts w:ascii="Times New Roman" w:hAnsi="Times New Roman" w:eastAsia="Times New Roman"/>
                <w:sz w:val="18"/>
              </w:rPr>
              <w:t>0.673</w:t>
            </w:r>
          </w:p>
        </w:tc>
        <w:tc>
          <w:tcPr>
            <w:tcW w:type="dxa" w:w="1872"/>
          </w:tcPr>
          <w:p>
            <w:r/>
            <w:r>
              <w:rPr>
                <w:rFonts w:ascii="Times New Roman" w:hAnsi="Times New Roman" w:eastAsia="Times New Roman"/>
                <w:sz w:val="18"/>
              </w:rPr>
              <w:t>1 606 433</w:t>
            </w:r>
          </w:p>
        </w:tc>
        <w:tc>
          <w:tcPr>
            <w:tcW w:type="dxa" w:w="1872"/>
          </w:tcPr>
          <w:p>
            <w:r/>
            <w:r>
              <w:rPr>
                <w:rFonts w:ascii="Times New Roman" w:hAnsi="Times New Roman" w:eastAsia="Times New Roman"/>
                <w:sz w:val="18"/>
              </w:rPr>
              <w:t>115 с</w:t>
            </w:r>
          </w:p>
        </w:tc>
      </w:tr>
      <w:tr>
        <w:tc>
          <w:tcPr>
            <w:tcW w:type="dxa" w:w="1872"/>
          </w:tcPr>
          <w:p>
            <w:r/>
            <w:r>
              <w:rPr>
                <w:rFonts w:ascii="Times New Roman" w:hAnsi="Times New Roman" w:eastAsia="Times New Roman"/>
                <w:sz w:val="18"/>
              </w:rPr>
              <w:t>FCN-8s</w:t>
            </w:r>
          </w:p>
        </w:tc>
        <w:tc>
          <w:tcPr>
            <w:tcW w:type="dxa" w:w="1872"/>
          </w:tcPr>
          <w:p>
            <w:r/>
            <w:r>
              <w:rPr>
                <w:rFonts w:ascii="Times New Roman" w:hAnsi="Times New Roman" w:eastAsia="Times New Roman"/>
                <w:sz w:val="18"/>
              </w:rPr>
              <w:t>0.818</w:t>
            </w:r>
          </w:p>
        </w:tc>
        <w:tc>
          <w:tcPr>
            <w:tcW w:type="dxa" w:w="1872"/>
          </w:tcPr>
          <w:p>
            <w:r/>
            <w:r>
              <w:rPr>
                <w:rFonts w:ascii="Times New Roman" w:hAnsi="Times New Roman" w:eastAsia="Times New Roman"/>
                <w:sz w:val="18"/>
              </w:rPr>
              <w:t>0.654</w:t>
            </w:r>
          </w:p>
        </w:tc>
        <w:tc>
          <w:tcPr>
            <w:tcW w:type="dxa" w:w="1872"/>
          </w:tcPr>
          <w:p>
            <w:r/>
            <w:r>
              <w:rPr>
                <w:rFonts w:ascii="Times New Roman" w:hAnsi="Times New Roman" w:eastAsia="Times New Roman"/>
                <w:sz w:val="18"/>
              </w:rPr>
              <w:t>1 175 203</w:t>
            </w:r>
          </w:p>
        </w:tc>
        <w:tc>
          <w:tcPr>
            <w:tcW w:type="dxa" w:w="1872"/>
          </w:tcPr>
          <w:p>
            <w:r/>
            <w:r>
              <w:rPr>
                <w:rFonts w:ascii="Times New Roman" w:hAnsi="Times New Roman" w:eastAsia="Times New Roman"/>
                <w:sz w:val="18"/>
              </w:rPr>
              <w:t>97 с</w:t>
            </w:r>
          </w:p>
        </w:tc>
      </w:tr>
      <w:tr>
        <w:tc>
          <w:tcPr>
            <w:tcW w:type="dxa" w:w="1872"/>
          </w:tcPr>
          <w:p>
            <w:r/>
            <w:r>
              <w:rPr>
                <w:rFonts w:ascii="Times New Roman" w:hAnsi="Times New Roman" w:eastAsia="Times New Roman"/>
                <w:sz w:val="18"/>
              </w:rPr>
              <w:t>MultiResUNet</w:t>
            </w:r>
          </w:p>
        </w:tc>
        <w:tc>
          <w:tcPr>
            <w:tcW w:type="dxa" w:w="1872"/>
          </w:tcPr>
          <w:p>
            <w:r/>
            <w:r>
              <w:rPr>
                <w:rFonts w:ascii="Times New Roman" w:hAnsi="Times New Roman" w:eastAsia="Times New Roman"/>
                <w:sz w:val="18"/>
              </w:rPr>
              <w:t>0.812</w:t>
            </w:r>
          </w:p>
        </w:tc>
        <w:tc>
          <w:tcPr>
            <w:tcW w:type="dxa" w:w="1872"/>
          </w:tcPr>
          <w:p>
            <w:r/>
            <w:r>
              <w:rPr>
                <w:rFonts w:ascii="Times New Roman" w:hAnsi="Times New Roman" w:eastAsia="Times New Roman"/>
                <w:sz w:val="18"/>
              </w:rPr>
              <w:t>0.673</w:t>
            </w:r>
          </w:p>
        </w:tc>
        <w:tc>
          <w:tcPr>
            <w:tcW w:type="dxa" w:w="1872"/>
          </w:tcPr>
          <w:p>
            <w:r/>
            <w:r>
              <w:rPr>
                <w:rFonts w:ascii="Times New Roman" w:hAnsi="Times New Roman" w:eastAsia="Times New Roman"/>
                <w:sz w:val="18"/>
              </w:rPr>
              <w:t>1 011 952</w:t>
            </w:r>
          </w:p>
        </w:tc>
        <w:tc>
          <w:tcPr>
            <w:tcW w:type="dxa" w:w="1872"/>
          </w:tcPr>
          <w:p>
            <w:r/>
            <w:r>
              <w:rPr>
                <w:rFonts w:ascii="Times New Roman" w:hAnsi="Times New Roman" w:eastAsia="Times New Roman"/>
                <w:sz w:val="18"/>
              </w:rPr>
              <w:t>175 с</w:t>
            </w:r>
          </w:p>
        </w:tc>
      </w:tr>
      <w:tr>
        <w:tc>
          <w:tcPr>
            <w:tcW w:type="dxa" w:w="1872"/>
          </w:tcPr>
          <w:p>
            <w:r/>
            <w:r>
              <w:rPr>
                <w:rFonts w:ascii="Times New Roman" w:hAnsi="Times New Roman" w:eastAsia="Times New Roman"/>
                <w:sz w:val="18"/>
              </w:rPr>
              <w:t>DeepLabV3+ (lite)</w:t>
            </w:r>
          </w:p>
        </w:tc>
        <w:tc>
          <w:tcPr>
            <w:tcW w:type="dxa" w:w="1872"/>
          </w:tcPr>
          <w:p>
            <w:r/>
            <w:r>
              <w:rPr>
                <w:rFonts w:ascii="Times New Roman" w:hAnsi="Times New Roman" w:eastAsia="Times New Roman"/>
                <w:sz w:val="18"/>
              </w:rPr>
              <w:t>0.837</w:t>
            </w:r>
          </w:p>
        </w:tc>
        <w:tc>
          <w:tcPr>
            <w:tcW w:type="dxa" w:w="1872"/>
          </w:tcPr>
          <w:p>
            <w:r/>
            <w:r>
              <w:rPr>
                <w:rFonts w:ascii="Times New Roman" w:hAnsi="Times New Roman" w:eastAsia="Times New Roman"/>
                <w:sz w:val="18"/>
              </w:rPr>
              <w:t>0.695</w:t>
            </w:r>
          </w:p>
        </w:tc>
        <w:tc>
          <w:tcPr>
            <w:tcW w:type="dxa" w:w="1872"/>
          </w:tcPr>
          <w:p>
            <w:r/>
            <w:r>
              <w:rPr>
                <w:rFonts w:ascii="Times New Roman" w:hAnsi="Times New Roman" w:eastAsia="Times New Roman"/>
                <w:sz w:val="18"/>
              </w:rPr>
              <w:t>2 487 697</w:t>
            </w:r>
          </w:p>
        </w:tc>
        <w:tc>
          <w:tcPr>
            <w:tcW w:type="dxa" w:w="1872"/>
          </w:tcPr>
          <w:p>
            <w:r/>
            <w:r>
              <w:rPr>
                <w:rFonts w:ascii="Times New Roman" w:hAnsi="Times New Roman" w:eastAsia="Times New Roman"/>
                <w:sz w:val="18"/>
              </w:rPr>
              <w:t>287 с</w:t>
            </w:r>
          </w:p>
        </w:tc>
      </w:tr>
      <w:tr>
        <w:tc>
          <w:tcPr>
            <w:tcW w:type="dxa" w:w="1872"/>
          </w:tcPr>
          <w:p>
            <w:r/>
            <w:r>
              <w:rPr>
                <w:rFonts w:ascii="Times New Roman" w:hAnsi="Times New Roman" w:eastAsia="Times New Roman"/>
                <w:sz w:val="18"/>
              </w:rPr>
              <w:t>ResNet18-UNet (transfer learning)</w:t>
            </w:r>
          </w:p>
        </w:tc>
        <w:tc>
          <w:tcPr>
            <w:tcW w:type="dxa" w:w="1872"/>
          </w:tcPr>
          <w:p>
            <w:r/>
            <w:r>
              <w:rPr>
                <w:rFonts w:ascii="Times New Roman" w:hAnsi="Times New Roman" w:eastAsia="Times New Roman"/>
                <w:sz w:val="18"/>
              </w:rPr>
              <w:t>0.746</w:t>
            </w:r>
          </w:p>
        </w:tc>
        <w:tc>
          <w:tcPr>
            <w:tcW w:type="dxa" w:w="1872"/>
          </w:tcPr>
          <w:p>
            <w:r/>
            <w:r>
              <w:rPr>
                <w:rFonts w:ascii="Times New Roman" w:hAnsi="Times New Roman" w:eastAsia="Times New Roman"/>
                <w:sz w:val="18"/>
              </w:rPr>
              <w:t>0.506</w:t>
            </w:r>
          </w:p>
        </w:tc>
        <w:tc>
          <w:tcPr>
            <w:tcW w:type="dxa" w:w="1872"/>
          </w:tcPr>
          <w:p>
            <w:r/>
            <w:r>
              <w:rPr>
                <w:rFonts w:ascii="Times New Roman" w:hAnsi="Times New Roman" w:eastAsia="Times New Roman"/>
                <w:sz w:val="18"/>
              </w:rPr>
              <w:t>14 350 785</w:t>
            </w:r>
          </w:p>
        </w:tc>
        <w:tc>
          <w:tcPr>
            <w:tcW w:type="dxa" w:w="1872"/>
          </w:tcPr>
          <w:p>
            <w:r/>
            <w:r>
              <w:rPr>
                <w:rFonts w:ascii="Times New Roman" w:hAnsi="Times New Roman" w:eastAsia="Times New Roman"/>
                <w:sz w:val="18"/>
              </w:rPr>
              <w:t>142 с</w:t>
            </w:r>
          </w:p>
        </w:tc>
      </w:tr>
    </w:tbl>
    <w:p>
      <w:pPr>
        <w:jc w:val="center"/>
      </w:pPr>
      <w:r>
        <w:rPr>
          <w:rFonts w:ascii="Times New Roman" w:hAnsi="Times New Roman" w:eastAsia="Times New Roman"/>
          <w:b w:val="0"/>
          <w:i/>
          <w:sz w:val="18"/>
        </w:rPr>
        <w:t>Таблица 6. Качество сегментации по архитектурам.</w:t>
      </w:r>
    </w:p>
    <w:p>
      <w:pPr>
        <w:jc w:val="center"/>
      </w:pPr>
      <w:r>
        <w:drawing>
          <wp:inline xmlns:a="http://schemas.openxmlformats.org/drawingml/2006/main" xmlns:pic="http://schemas.openxmlformats.org/drawingml/2006/picture">
            <wp:extent cx="6858000" cy="2504661"/>
            <wp:docPr id="7" name="Picture 7"/>
            <wp:cNvGraphicFramePr>
              <a:graphicFrameLocks noChangeAspect="1"/>
            </wp:cNvGraphicFramePr>
            <a:graphic>
              <a:graphicData uri="http://schemas.openxmlformats.org/drawingml/2006/picture">
                <pic:pic>
                  <pic:nvPicPr>
                    <pic:cNvPr id="0" name="article4_unet_chart_architectures.png"/>
                    <pic:cNvPicPr/>
                  </pic:nvPicPr>
                  <pic:blipFill>
                    <a:blip r:embed="rId15"/>
                    <a:stretch>
                      <a:fillRect/>
                    </a:stretch>
                  </pic:blipFill>
                  <pic:spPr>
                    <a:xfrm>
                      <a:off x="0" y="0"/>
                      <a:ext cx="6858000" cy="2504661"/>
                    </a:xfrm>
                    <a:prstGeom prst="rect"/>
                  </pic:spPr>
                </pic:pic>
              </a:graphicData>
            </a:graphic>
          </wp:inline>
        </w:drawing>
      </w:r>
    </w:p>
    <w:p>
      <w:pPr>
        <w:jc w:val="center"/>
      </w:pPr>
      <w:r>
        <w:rPr>
          <w:rFonts w:ascii="Times New Roman" w:hAnsi="Times New Roman" w:eastAsia="Times New Roman"/>
          <w:b w:val="0"/>
          <w:i/>
          <w:sz w:val="18"/>
        </w:rPr>
        <w:t>Рисунок 7. Mean/median Dice (все срезы) по девяти архитектурам.</w:t>
      </w:r>
    </w:p>
    <w:p>
      <w:r>
        <w:rPr>
          <w:rFonts w:ascii="Times New Roman" w:hAnsi="Times New Roman" w:eastAsia="Times New Roman"/>
          <w:b w:val="0"/>
          <w:i w:val="0"/>
          <w:sz w:val="18"/>
        </w:rPr>
        <w:t>Лучший результат на одной модальности показала DeepLabV3+ (lite) (69.5% Dice на срезах с опухолью). Архитектура с предобученным на ImageNet энкодером (ResNet18-UNet, transfer learning) НЕ дала преимущества перед специализированными архитектурами, обученными с нуля (50.6% — один из худших результатов сравнения) — правдоподобное объяснение: короткий бюджет дообучения и отсутствие согласования статистики нормализации входа с исходным ImageNet-предобучением (вход модели использует ту же схему предобработки, что и остальные архитектуры сравнения, ради честности сопоставления, а не оптимальную для конкретно этой сети нормализацию). Сравнение с предобученной сетью включено в это исследование по прямому требованию медицинского рецензента.</w:t>
      </w:r>
    </w:p>
    <w:p>
      <w:pPr>
        <w:spacing w:before="160" w:after="60"/>
      </w:pPr>
      <w:r>
        <w:rPr>
          <w:rFonts w:ascii="Times New Roman" w:hAnsi="Times New Roman" w:eastAsia="Times New Roman"/>
          <w:b/>
          <w:i/>
          <w:sz w:val="18"/>
        </w:rPr>
        <w:t>Устойчивость обучения и сравнение архитектур</w:t>
      </w:r>
    </w:p>
    <w:p>
      <w:r>
        <w:rPr>
          <w:rFonts w:ascii="Times New Roman" w:hAnsi="Times New Roman" w:eastAsia="Times New Roman"/>
          <w:b w:val="0"/>
          <w:i w:val="0"/>
          <w:sz w:val="18"/>
        </w:rPr>
        <w:t>Предварительные прогоны без нормализации по батчу показали нестабильную сходимость: одни и те же архитектуры на одном и том же разбиении данных иногда «застревали» в тривиальном решении (предсказание «везде фон»), а иногда успешно обучались — в зависимости от конкретной траектории обучения, не от архитектурных различий как таковых. После добавления нормализации по батчу во все свёрточные блоки (раздел «Теория») ни одна из девяти архитектур не показала полного коллапса — устойчивая сходимость, судя по всему, в большей степени определяется наличием нормализации, чем выбором конкретной архитектуры.</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8"/>
              </w:rPr>
              <w:t>Архитектура</w:t>
            </w:r>
          </w:p>
        </w:tc>
        <w:tc>
          <w:tcPr>
            <w:tcW w:type="dxa" w:w="2340"/>
          </w:tcPr>
          <w:p>
            <w:r/>
            <w:r>
              <w:rPr>
                <w:rFonts w:ascii="Times New Roman" w:hAnsi="Times New Roman" w:eastAsia="Times New Roman"/>
                <w:b/>
                <w:sz w:val="18"/>
              </w:rPr>
              <w:t>Макс. Dice (с опухолью)</w:t>
            </w:r>
          </w:p>
        </w:tc>
        <w:tc>
          <w:tcPr>
            <w:tcW w:type="dxa" w:w="2340"/>
          </w:tcPr>
          <w:p>
            <w:r/>
            <w:r>
              <w:rPr>
                <w:rFonts w:ascii="Times New Roman" w:hAnsi="Times New Roman" w:eastAsia="Times New Roman"/>
                <w:b/>
                <w:sz w:val="18"/>
              </w:rPr>
              <w:t>Эпоха максимума</w:t>
            </w:r>
          </w:p>
        </w:tc>
        <w:tc>
          <w:tcPr>
            <w:tcW w:type="dxa" w:w="2340"/>
          </w:tcPr>
          <w:p>
            <w:r/>
            <w:r>
              <w:rPr>
                <w:rFonts w:ascii="Times New Roman" w:hAnsi="Times New Roman" w:eastAsia="Times New Roman"/>
                <w:b/>
                <w:sz w:val="18"/>
              </w:rPr>
              <w:t>Начало переобучения</w:t>
            </w:r>
          </w:p>
        </w:tc>
      </w:tr>
      <w:tr>
        <w:tc>
          <w:tcPr>
            <w:tcW w:type="dxa" w:w="2340"/>
          </w:tcPr>
          <w:p>
            <w:r/>
            <w:r>
              <w:rPr>
                <w:rFonts w:ascii="Times New Roman" w:hAnsi="Times New Roman" w:eastAsia="Times New Roman"/>
                <w:sz w:val="18"/>
              </w:rPr>
              <w:t>U-Net (базовый)</w:t>
            </w:r>
          </w:p>
        </w:tc>
        <w:tc>
          <w:tcPr>
            <w:tcW w:type="dxa" w:w="2340"/>
          </w:tcPr>
          <w:p>
            <w:r/>
            <w:r>
              <w:rPr>
                <w:rFonts w:ascii="Times New Roman" w:hAnsi="Times New Roman" w:eastAsia="Times New Roman"/>
                <w:sz w:val="18"/>
              </w:rPr>
              <w:t>0.752</w:t>
            </w:r>
          </w:p>
        </w:tc>
        <w:tc>
          <w:tcPr>
            <w:tcW w:type="dxa" w:w="2340"/>
          </w:tcPr>
          <w:p>
            <w:r/>
            <w:r>
              <w:rPr>
                <w:rFonts w:ascii="Times New Roman" w:hAnsi="Times New Roman" w:eastAsia="Times New Roman"/>
                <w:sz w:val="18"/>
              </w:rPr>
              <w:t>2</w:t>
            </w:r>
          </w:p>
        </w:tc>
        <w:tc>
          <w:tcPr>
            <w:tcW w:type="dxa" w:w="2340"/>
          </w:tcPr>
          <w:p>
            <w:r/>
            <w:r>
              <w:rPr>
                <w:rFonts w:ascii="Times New Roman" w:hAnsi="Times New Roman" w:eastAsia="Times New Roman"/>
                <w:sz w:val="18"/>
              </w:rPr>
              <w:t>3</w:t>
            </w:r>
          </w:p>
        </w:tc>
      </w:tr>
      <w:tr>
        <w:tc>
          <w:tcPr>
            <w:tcW w:type="dxa" w:w="2340"/>
          </w:tcPr>
          <w:p>
            <w:r/>
            <w:r>
              <w:rPr>
                <w:rFonts w:ascii="Times New Roman" w:hAnsi="Times New Roman" w:eastAsia="Times New Roman"/>
                <w:sz w:val="18"/>
              </w:rPr>
              <w:t>Plain encoder-decoder (без skip)</w:t>
            </w:r>
          </w:p>
        </w:tc>
        <w:tc>
          <w:tcPr>
            <w:tcW w:type="dxa" w:w="2340"/>
          </w:tcPr>
          <w:p>
            <w:r/>
            <w:r>
              <w:rPr>
                <w:rFonts w:ascii="Times New Roman" w:hAnsi="Times New Roman" w:eastAsia="Times New Roman"/>
                <w:sz w:val="18"/>
              </w:rPr>
              <w:t>0.672</w:t>
            </w:r>
          </w:p>
        </w:tc>
        <w:tc>
          <w:tcPr>
            <w:tcW w:type="dxa" w:w="2340"/>
          </w:tcPr>
          <w:p>
            <w:r/>
            <w:r>
              <w:rPr>
                <w:rFonts w:ascii="Times New Roman" w:hAnsi="Times New Roman" w:eastAsia="Times New Roman"/>
                <w:sz w:val="18"/>
              </w:rPr>
              <w:t>10</w:t>
            </w:r>
          </w:p>
        </w:tc>
        <w:tc>
          <w:tcPr>
            <w:tcW w:type="dxa" w:w="2340"/>
          </w:tcPr>
          <w:p>
            <w:r/>
            <w:r>
              <w:rPr>
                <w:rFonts w:ascii="Times New Roman" w:hAnsi="Times New Roman" w:eastAsia="Times New Roman"/>
                <w:sz w:val="18"/>
              </w:rPr>
              <w:t>11</w:t>
            </w:r>
          </w:p>
        </w:tc>
      </w:tr>
      <w:tr>
        <w:tc>
          <w:tcPr>
            <w:tcW w:type="dxa" w:w="2340"/>
          </w:tcPr>
          <w:p>
            <w:r/>
            <w:r>
              <w:rPr>
                <w:rFonts w:ascii="Times New Roman" w:hAnsi="Times New Roman" w:eastAsia="Times New Roman"/>
                <w:sz w:val="18"/>
              </w:rPr>
              <w:t>Residual U-Net</w:t>
            </w:r>
          </w:p>
        </w:tc>
        <w:tc>
          <w:tcPr>
            <w:tcW w:type="dxa" w:w="2340"/>
          </w:tcPr>
          <w:p>
            <w:r/>
            <w:r>
              <w:rPr>
                <w:rFonts w:ascii="Times New Roman" w:hAnsi="Times New Roman" w:eastAsia="Times New Roman"/>
                <w:sz w:val="18"/>
              </w:rPr>
              <w:t>0.710</w:t>
            </w:r>
          </w:p>
        </w:tc>
        <w:tc>
          <w:tcPr>
            <w:tcW w:type="dxa" w:w="2340"/>
          </w:tcPr>
          <w:p>
            <w:r/>
            <w:r>
              <w:rPr>
                <w:rFonts w:ascii="Times New Roman" w:hAnsi="Times New Roman" w:eastAsia="Times New Roman"/>
                <w:sz w:val="18"/>
              </w:rPr>
              <w:t>12</w:t>
            </w:r>
          </w:p>
        </w:tc>
        <w:tc>
          <w:tcPr>
            <w:tcW w:type="dxa" w:w="2340"/>
          </w:tcPr>
          <w:p>
            <w:r/>
            <w:r>
              <w:rPr>
                <w:rFonts w:ascii="Times New Roman" w:hAnsi="Times New Roman" w:eastAsia="Times New Roman"/>
                <w:sz w:val="18"/>
              </w:rPr>
              <w:t>13</w:t>
            </w:r>
          </w:p>
        </w:tc>
      </w:tr>
      <w:tr>
        <w:tc>
          <w:tcPr>
            <w:tcW w:type="dxa" w:w="2340"/>
          </w:tcPr>
          <w:p>
            <w:r/>
            <w:r>
              <w:rPr>
                <w:rFonts w:ascii="Times New Roman" w:hAnsi="Times New Roman" w:eastAsia="Times New Roman"/>
                <w:sz w:val="18"/>
              </w:rPr>
              <w:t>Attention U-Net</w:t>
            </w:r>
          </w:p>
        </w:tc>
        <w:tc>
          <w:tcPr>
            <w:tcW w:type="dxa" w:w="2340"/>
          </w:tcPr>
          <w:p>
            <w:r/>
            <w:r>
              <w:rPr>
                <w:rFonts w:ascii="Times New Roman" w:hAnsi="Times New Roman" w:eastAsia="Times New Roman"/>
                <w:sz w:val="18"/>
              </w:rPr>
              <w:t>0.719</w:t>
            </w:r>
          </w:p>
        </w:tc>
        <w:tc>
          <w:tcPr>
            <w:tcW w:type="dxa" w:w="2340"/>
          </w:tcPr>
          <w:p>
            <w:r/>
            <w:r>
              <w:rPr>
                <w:rFonts w:ascii="Times New Roman" w:hAnsi="Times New Roman" w:eastAsia="Times New Roman"/>
                <w:sz w:val="18"/>
              </w:rPr>
              <w:t>2</w:t>
            </w:r>
          </w:p>
        </w:tc>
        <w:tc>
          <w:tcPr>
            <w:tcW w:type="dxa" w:w="2340"/>
          </w:tcPr>
          <w:p>
            <w:r/>
            <w:r>
              <w:rPr>
                <w:rFonts w:ascii="Times New Roman" w:hAnsi="Times New Roman" w:eastAsia="Times New Roman"/>
                <w:sz w:val="18"/>
              </w:rPr>
              <w:t>3</w:t>
            </w:r>
          </w:p>
        </w:tc>
      </w:tr>
      <w:tr>
        <w:tc>
          <w:tcPr>
            <w:tcW w:type="dxa" w:w="2340"/>
          </w:tcPr>
          <w:p>
            <w:r/>
            <w:r>
              <w:rPr>
                <w:rFonts w:ascii="Times New Roman" w:hAnsi="Times New Roman" w:eastAsia="Times New Roman"/>
                <w:sz w:val="18"/>
              </w:rPr>
              <w:t>SegNet</w:t>
            </w:r>
          </w:p>
        </w:tc>
        <w:tc>
          <w:tcPr>
            <w:tcW w:type="dxa" w:w="2340"/>
          </w:tcPr>
          <w:p>
            <w:r/>
            <w:r>
              <w:rPr>
                <w:rFonts w:ascii="Times New Roman" w:hAnsi="Times New Roman" w:eastAsia="Times New Roman"/>
                <w:sz w:val="18"/>
              </w:rPr>
              <w:t>0.674</w:t>
            </w:r>
          </w:p>
        </w:tc>
        <w:tc>
          <w:tcPr>
            <w:tcW w:type="dxa" w:w="2340"/>
          </w:tcPr>
          <w:p>
            <w:r/>
            <w:r>
              <w:rPr>
                <w:rFonts w:ascii="Times New Roman" w:hAnsi="Times New Roman" w:eastAsia="Times New Roman"/>
                <w:sz w:val="18"/>
              </w:rPr>
              <w:t>13</w:t>
            </w:r>
          </w:p>
        </w:tc>
        <w:tc>
          <w:tcPr>
            <w:tcW w:type="dxa" w:w="2340"/>
          </w:tcPr>
          <w:p>
            <w:r/>
            <w:r>
              <w:rPr>
                <w:rFonts w:ascii="Times New Roman" w:hAnsi="Times New Roman" w:eastAsia="Times New Roman"/>
                <w:sz w:val="18"/>
              </w:rPr>
              <w:t>14</w:t>
            </w:r>
          </w:p>
        </w:tc>
      </w:tr>
      <w:tr>
        <w:tc>
          <w:tcPr>
            <w:tcW w:type="dxa" w:w="2340"/>
          </w:tcPr>
          <w:p>
            <w:r/>
            <w:r>
              <w:rPr>
                <w:rFonts w:ascii="Times New Roman" w:hAnsi="Times New Roman" w:eastAsia="Times New Roman"/>
                <w:sz w:val="18"/>
              </w:rPr>
              <w:t>FCN-8s</w:t>
            </w:r>
          </w:p>
        </w:tc>
        <w:tc>
          <w:tcPr>
            <w:tcW w:type="dxa" w:w="2340"/>
          </w:tcPr>
          <w:p>
            <w:r/>
            <w:r>
              <w:rPr>
                <w:rFonts w:ascii="Times New Roman" w:hAnsi="Times New Roman" w:eastAsia="Times New Roman"/>
                <w:sz w:val="18"/>
              </w:rPr>
              <w:t>0.741</w:t>
            </w:r>
          </w:p>
        </w:tc>
        <w:tc>
          <w:tcPr>
            <w:tcW w:type="dxa" w:w="2340"/>
          </w:tcPr>
          <w:p>
            <w:r/>
            <w:r>
              <w:rPr>
                <w:rFonts w:ascii="Times New Roman" w:hAnsi="Times New Roman" w:eastAsia="Times New Roman"/>
                <w:sz w:val="18"/>
              </w:rPr>
              <w:t>12</w:t>
            </w:r>
          </w:p>
        </w:tc>
        <w:tc>
          <w:tcPr>
            <w:tcW w:type="dxa" w:w="2340"/>
          </w:tcPr>
          <w:p>
            <w:r/>
            <w:r>
              <w:rPr>
                <w:rFonts w:ascii="Times New Roman" w:hAnsi="Times New Roman" w:eastAsia="Times New Roman"/>
                <w:sz w:val="18"/>
              </w:rPr>
              <w:t>13</w:t>
            </w:r>
          </w:p>
        </w:tc>
      </w:tr>
      <w:tr>
        <w:tc>
          <w:tcPr>
            <w:tcW w:type="dxa" w:w="2340"/>
          </w:tcPr>
          <w:p>
            <w:r/>
            <w:r>
              <w:rPr>
                <w:rFonts w:ascii="Times New Roman" w:hAnsi="Times New Roman" w:eastAsia="Times New Roman"/>
                <w:sz w:val="18"/>
              </w:rPr>
              <w:t>MultiResUNet</w:t>
            </w:r>
          </w:p>
        </w:tc>
        <w:tc>
          <w:tcPr>
            <w:tcW w:type="dxa" w:w="2340"/>
          </w:tcPr>
          <w:p>
            <w:r/>
            <w:r>
              <w:rPr>
                <w:rFonts w:ascii="Times New Roman" w:hAnsi="Times New Roman" w:eastAsia="Times New Roman"/>
                <w:sz w:val="18"/>
              </w:rPr>
              <w:t>0.738</w:t>
            </w:r>
          </w:p>
        </w:tc>
        <w:tc>
          <w:tcPr>
            <w:tcW w:type="dxa" w:w="2340"/>
          </w:tcPr>
          <w:p>
            <w:r/>
            <w:r>
              <w:rPr>
                <w:rFonts w:ascii="Times New Roman" w:hAnsi="Times New Roman" w:eastAsia="Times New Roman"/>
                <w:sz w:val="18"/>
              </w:rPr>
              <w:t>15</w:t>
            </w:r>
          </w:p>
        </w:tc>
        <w:tc>
          <w:tcPr>
            <w:tcW w:type="dxa" w:w="2340"/>
          </w:tcPr>
          <w:p>
            <w:r/>
            <w:r>
              <w:rPr>
                <w:rFonts w:ascii="Times New Roman" w:hAnsi="Times New Roman" w:eastAsia="Times New Roman"/>
                <w:sz w:val="18"/>
              </w:rPr>
              <w:t>не наблюдалось</w:t>
            </w:r>
          </w:p>
        </w:tc>
      </w:tr>
      <w:tr>
        <w:tc>
          <w:tcPr>
            <w:tcW w:type="dxa" w:w="2340"/>
          </w:tcPr>
          <w:p>
            <w:r/>
            <w:r>
              <w:rPr>
                <w:rFonts w:ascii="Times New Roman" w:hAnsi="Times New Roman" w:eastAsia="Times New Roman"/>
                <w:sz w:val="18"/>
              </w:rPr>
              <w:t>DeepLabV3+ (lite)</w:t>
            </w:r>
          </w:p>
        </w:tc>
        <w:tc>
          <w:tcPr>
            <w:tcW w:type="dxa" w:w="2340"/>
          </w:tcPr>
          <w:p>
            <w:r/>
            <w:r>
              <w:rPr>
                <w:rFonts w:ascii="Times New Roman" w:hAnsi="Times New Roman" w:eastAsia="Times New Roman"/>
                <w:sz w:val="18"/>
              </w:rPr>
              <w:t>0.747</w:t>
            </w:r>
          </w:p>
        </w:tc>
        <w:tc>
          <w:tcPr>
            <w:tcW w:type="dxa" w:w="2340"/>
          </w:tcPr>
          <w:p>
            <w:r/>
            <w:r>
              <w:rPr>
                <w:rFonts w:ascii="Times New Roman" w:hAnsi="Times New Roman" w:eastAsia="Times New Roman"/>
                <w:sz w:val="18"/>
              </w:rPr>
              <w:t>11</w:t>
            </w:r>
          </w:p>
        </w:tc>
        <w:tc>
          <w:tcPr>
            <w:tcW w:type="dxa" w:w="2340"/>
          </w:tcPr>
          <w:p>
            <w:r/>
            <w:r>
              <w:rPr>
                <w:rFonts w:ascii="Times New Roman" w:hAnsi="Times New Roman" w:eastAsia="Times New Roman"/>
                <w:sz w:val="18"/>
              </w:rPr>
              <w:t>12</w:t>
            </w:r>
          </w:p>
        </w:tc>
      </w:tr>
    </w:tbl>
    <w:p>
      <w:pPr>
        <w:jc w:val="center"/>
      </w:pPr>
      <w:r>
        <w:rPr>
          <w:rFonts w:ascii="Times New Roman" w:hAnsi="Times New Roman" w:eastAsia="Times New Roman"/>
          <w:b w:val="0"/>
          <w:i/>
          <w:sz w:val="18"/>
        </w:rPr>
        <w:t>Таблица 7. Динамика обучения на единой сетке из 15 эпох (8 архитектур, попиксельная оценка на тесте после каждой эпохи).</w:t>
      </w:r>
    </w:p>
    <w:p>
      <w:pPr>
        <w:jc w:val="center"/>
      </w:pPr>
      <w:r>
        <w:drawing>
          <wp:inline xmlns:a="http://schemas.openxmlformats.org/drawingml/2006/main" xmlns:pic="http://schemas.openxmlformats.org/drawingml/2006/picture">
            <wp:extent cx="6400800" cy="8178800"/>
            <wp:docPr id="8" name="Picture 8"/>
            <wp:cNvGraphicFramePr>
              <a:graphicFrameLocks noChangeAspect="1"/>
            </wp:cNvGraphicFramePr>
            <a:graphic>
              <a:graphicData uri="http://schemas.openxmlformats.org/drawingml/2006/picture">
                <pic:pic>
                  <pic:nvPicPr>
                    <pic:cNvPr id="0" name="article4_unet_chart_overfitting.png"/>
                    <pic:cNvPicPr/>
                  </pic:nvPicPr>
                  <pic:blipFill>
                    <a:blip r:embed="rId16"/>
                    <a:stretch>
                      <a:fillRect/>
                    </a:stretch>
                  </pic:blipFill>
                  <pic:spPr>
                    <a:xfrm>
                      <a:off x="0" y="0"/>
                      <a:ext cx="6400800" cy="8178800"/>
                    </a:xfrm>
                    <a:prstGeom prst="rect"/>
                  </pic:spPr>
                </pic:pic>
              </a:graphicData>
            </a:graphic>
          </wp:inline>
        </w:drawing>
      </w:r>
    </w:p>
    <w:p>
      <w:pPr>
        <w:jc w:val="center"/>
      </w:pPr>
      <w:r>
        <w:rPr>
          <w:rFonts w:ascii="Times New Roman" w:hAnsi="Times New Roman" w:eastAsia="Times New Roman"/>
          <w:b w:val="0"/>
          <w:i/>
          <w:sz w:val="18"/>
        </w:rPr>
        <w:t>Рисунок 8. Кривые train/test Dice по эпохам для восьми архитектур — точка максимума test Dice отмечена, вертикальная линия — начало переобучения (если наблюдалось в пределах сетки эпох).</w:t>
      </w:r>
    </w:p>
    <w:p>
      <w:r>
        <w:rPr>
          <w:rFonts w:ascii="Times New Roman" w:hAnsi="Times New Roman" w:eastAsia="Times New Roman"/>
          <w:b w:val="0"/>
          <w:i w:val="0"/>
          <w:sz w:val="18"/>
        </w:rPr>
        <w:t>Кривые test-Dice заметно шумные для нескольких архитектур — «пик» на очень ранней эпохе у части сетей правдоподобнее объясняется случайным выбросом на фоне последующих колебаний, а не достижением настоящего оптимума обобщения. Эвристику «первая эпоха после пика» стоит читать с поправкой на этот шум, а не как строгий факт о моменте переобучения для таких моделей.</w:t>
      </w:r>
    </w:p>
    <w:p>
      <w:pPr>
        <w:spacing w:before="160" w:after="60"/>
      </w:pPr>
      <w:r>
        <w:rPr>
          <w:rFonts w:ascii="Times New Roman" w:hAnsi="Times New Roman" w:eastAsia="Times New Roman"/>
          <w:b/>
          <w:i/>
          <w:sz w:val="18"/>
        </w:rPr>
        <w:t>4. Устойчивость по нескольким разбиениям</w:t>
      </w:r>
    </w:p>
    <w:p>
      <w:r>
        <w:rPr>
          <w:rFonts w:ascii="Times New Roman" w:hAnsi="Times New Roman" w:eastAsia="Times New Roman"/>
          <w:b w:val="0"/>
          <w:i w:val="0"/>
          <w:sz w:val="18"/>
        </w:rPr>
        <w:t>Приведённый выше результат (раздел 1) получен на ОДНОМ конкретном разбиении данных. Для проверки статистической надёжности вывода базовая архитектура обучена заново на 5 НЕЗАВИСИМЫХ случайных разбиениях по пациентам — требование, прямо сформулированное медицинским рецензентом исследования (единичное разбиение недостаточно для содержательного вывода).</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sz w:val="18"/>
              </w:rPr>
              <w:t>Разбиение (seed)</w:t>
            </w:r>
          </w:p>
        </w:tc>
        <w:tc>
          <w:tcPr>
            <w:tcW w:type="dxa" w:w="1560"/>
          </w:tcPr>
          <w:p>
            <w:r/>
            <w:r>
              <w:rPr>
                <w:rFonts w:ascii="Times New Roman" w:hAnsi="Times New Roman" w:eastAsia="Times New Roman"/>
                <w:b/>
                <w:sz w:val="18"/>
              </w:rPr>
              <w:t>Без контекста</w:t>
            </w:r>
          </w:p>
        </w:tc>
        <w:tc>
          <w:tcPr>
            <w:tcW w:type="dxa" w:w="1560"/>
          </w:tcPr>
          <w:p>
            <w:r/>
            <w:r>
              <w:rPr>
                <w:rFonts w:ascii="Times New Roman" w:hAnsi="Times New Roman" w:eastAsia="Times New Roman"/>
                <w:b/>
                <w:sz w:val="18"/>
              </w:rPr>
              <w:t>Физические соседи</w:t>
            </w:r>
          </w:p>
        </w:tc>
        <w:tc>
          <w:tcPr>
            <w:tcW w:type="dxa" w:w="1560"/>
          </w:tcPr>
          <w:p>
            <w:r/>
            <w:r>
              <w:rPr>
                <w:rFonts w:ascii="Times New Roman" w:hAnsi="Times New Roman" w:eastAsia="Times New Roman"/>
                <w:b/>
                <w:sz w:val="18"/>
              </w:rPr>
              <w:t>Случайные «соседи»</w:t>
            </w:r>
          </w:p>
        </w:tc>
        <w:tc>
          <w:tcPr>
            <w:tcW w:type="dxa" w:w="1560"/>
          </w:tcPr>
          <w:p>
            <w:r/>
            <w:r>
              <w:rPr>
                <w:rFonts w:ascii="Times New Roman" w:hAnsi="Times New Roman" w:eastAsia="Times New Roman"/>
                <w:b/>
                <w:sz w:val="18"/>
              </w:rPr>
              <w:t>H1</w:t>
            </w:r>
          </w:p>
        </w:tc>
        <w:tc>
          <w:tcPr>
            <w:tcW w:type="dxa" w:w="1560"/>
          </w:tcPr>
          <w:p>
            <w:r/>
            <w:r>
              <w:rPr>
                <w:rFonts w:ascii="Times New Roman" w:hAnsi="Times New Roman" w:eastAsia="Times New Roman"/>
                <w:b/>
                <w:sz w:val="18"/>
              </w:rPr>
              <w:t>H2</w:t>
            </w:r>
          </w:p>
        </w:tc>
      </w:tr>
      <w:tr>
        <w:tc>
          <w:tcPr>
            <w:tcW w:type="dxa" w:w="1560"/>
          </w:tcPr>
          <w:p>
            <w:r/>
            <w:r>
              <w:rPr>
                <w:rFonts w:ascii="Times New Roman" w:hAnsi="Times New Roman" w:eastAsia="Times New Roman"/>
                <w:sz w:val="18"/>
              </w:rPr>
              <w:t>42</w:t>
            </w:r>
          </w:p>
        </w:tc>
        <w:tc>
          <w:tcPr>
            <w:tcW w:type="dxa" w:w="1560"/>
          </w:tcPr>
          <w:p>
            <w:r/>
            <w:r>
              <w:rPr>
                <w:rFonts w:ascii="Times New Roman" w:hAnsi="Times New Roman" w:eastAsia="Times New Roman"/>
                <w:sz w:val="18"/>
              </w:rPr>
              <w:t>0.676</w:t>
            </w:r>
          </w:p>
        </w:tc>
        <w:tc>
          <w:tcPr>
            <w:tcW w:type="dxa" w:w="1560"/>
          </w:tcPr>
          <w:p>
            <w:r/>
            <w:r>
              <w:rPr>
                <w:rFonts w:ascii="Times New Roman" w:hAnsi="Times New Roman" w:eastAsia="Times New Roman"/>
                <w:sz w:val="18"/>
              </w:rPr>
              <w:t>0.625</w:t>
            </w:r>
          </w:p>
        </w:tc>
        <w:tc>
          <w:tcPr>
            <w:tcW w:type="dxa" w:w="1560"/>
          </w:tcPr>
          <w:p>
            <w:r/>
            <w:r>
              <w:rPr>
                <w:rFonts w:ascii="Times New Roman" w:hAnsi="Times New Roman" w:eastAsia="Times New Roman"/>
                <w:sz w:val="18"/>
              </w:rPr>
              <w:t>0.041</w:t>
            </w:r>
          </w:p>
        </w:tc>
        <w:tc>
          <w:tcPr>
            <w:tcW w:type="dxa" w:w="1560"/>
          </w:tcPr>
          <w:p>
            <w:r/>
            <w:r>
              <w:rPr>
                <w:rFonts w:ascii="Times New Roman" w:hAnsi="Times New Roman" w:eastAsia="Times New Roman"/>
                <w:sz w:val="18"/>
              </w:rPr>
              <w:t>False</w:t>
            </w:r>
          </w:p>
        </w:tc>
        <w:tc>
          <w:tcPr>
            <w:tcW w:type="dxa" w:w="1560"/>
          </w:tcPr>
          <w:p>
            <w:r/>
            <w:r>
              <w:rPr>
                <w:rFonts w:ascii="Times New Roman" w:hAnsi="Times New Roman" w:eastAsia="Times New Roman"/>
                <w:sz w:val="18"/>
              </w:rPr>
              <w:t>True</w:t>
            </w:r>
          </w:p>
        </w:tc>
      </w:tr>
      <w:tr>
        <w:tc>
          <w:tcPr>
            <w:tcW w:type="dxa" w:w="1560"/>
          </w:tcPr>
          <w:p>
            <w:r/>
            <w:r>
              <w:rPr>
                <w:rFonts w:ascii="Times New Roman" w:hAnsi="Times New Roman" w:eastAsia="Times New Roman"/>
                <w:sz w:val="18"/>
              </w:rPr>
              <w:t>101</w:t>
            </w:r>
          </w:p>
        </w:tc>
        <w:tc>
          <w:tcPr>
            <w:tcW w:type="dxa" w:w="1560"/>
          </w:tcPr>
          <w:p>
            <w:r/>
            <w:r>
              <w:rPr>
                <w:rFonts w:ascii="Times New Roman" w:hAnsi="Times New Roman" w:eastAsia="Times New Roman"/>
                <w:sz w:val="18"/>
              </w:rPr>
              <w:t>0.547</w:t>
            </w:r>
          </w:p>
        </w:tc>
        <w:tc>
          <w:tcPr>
            <w:tcW w:type="dxa" w:w="1560"/>
          </w:tcPr>
          <w:p>
            <w:r/>
            <w:r>
              <w:rPr>
                <w:rFonts w:ascii="Times New Roman" w:hAnsi="Times New Roman" w:eastAsia="Times New Roman"/>
                <w:sz w:val="18"/>
              </w:rPr>
              <w:t>0.668</w:t>
            </w:r>
          </w:p>
        </w:tc>
        <w:tc>
          <w:tcPr>
            <w:tcW w:type="dxa" w:w="1560"/>
          </w:tcPr>
          <w:p>
            <w:r/>
            <w:r>
              <w:rPr>
                <w:rFonts w:ascii="Times New Roman" w:hAnsi="Times New Roman" w:eastAsia="Times New Roman"/>
                <w:sz w:val="18"/>
              </w:rPr>
              <w:t>0.066</w:t>
            </w:r>
          </w:p>
        </w:tc>
        <w:tc>
          <w:tcPr>
            <w:tcW w:type="dxa" w:w="1560"/>
          </w:tcPr>
          <w:p>
            <w:r/>
            <w:r>
              <w:rPr>
                <w:rFonts w:ascii="Times New Roman" w:hAnsi="Times New Roman" w:eastAsia="Times New Roman"/>
                <w:sz w:val="18"/>
              </w:rPr>
              <w:t>True</w:t>
            </w:r>
          </w:p>
        </w:tc>
        <w:tc>
          <w:tcPr>
            <w:tcW w:type="dxa" w:w="1560"/>
          </w:tcPr>
          <w:p>
            <w:r/>
            <w:r>
              <w:rPr>
                <w:rFonts w:ascii="Times New Roman" w:hAnsi="Times New Roman" w:eastAsia="Times New Roman"/>
                <w:sz w:val="18"/>
              </w:rPr>
              <w:t>True</w:t>
            </w:r>
          </w:p>
        </w:tc>
      </w:tr>
      <w:tr>
        <w:tc>
          <w:tcPr>
            <w:tcW w:type="dxa" w:w="1560"/>
          </w:tcPr>
          <w:p>
            <w:r/>
            <w:r>
              <w:rPr>
                <w:rFonts w:ascii="Times New Roman" w:hAnsi="Times New Roman" w:eastAsia="Times New Roman"/>
                <w:sz w:val="18"/>
              </w:rPr>
              <w:t>202</w:t>
            </w:r>
          </w:p>
        </w:tc>
        <w:tc>
          <w:tcPr>
            <w:tcW w:type="dxa" w:w="1560"/>
          </w:tcPr>
          <w:p>
            <w:r/>
            <w:r>
              <w:rPr>
                <w:rFonts w:ascii="Times New Roman" w:hAnsi="Times New Roman" w:eastAsia="Times New Roman"/>
                <w:sz w:val="18"/>
              </w:rPr>
              <w:t>0.558</w:t>
            </w:r>
          </w:p>
        </w:tc>
        <w:tc>
          <w:tcPr>
            <w:tcW w:type="dxa" w:w="1560"/>
          </w:tcPr>
          <w:p>
            <w:r/>
            <w:r>
              <w:rPr>
                <w:rFonts w:ascii="Times New Roman" w:hAnsi="Times New Roman" w:eastAsia="Times New Roman"/>
                <w:sz w:val="18"/>
              </w:rPr>
              <w:t>0.633</w:t>
            </w:r>
          </w:p>
        </w:tc>
        <w:tc>
          <w:tcPr>
            <w:tcW w:type="dxa" w:w="1560"/>
          </w:tcPr>
          <w:p>
            <w:r/>
            <w:r>
              <w:rPr>
                <w:rFonts w:ascii="Times New Roman" w:hAnsi="Times New Roman" w:eastAsia="Times New Roman"/>
                <w:sz w:val="18"/>
              </w:rPr>
              <w:t>0.052</w:t>
            </w:r>
          </w:p>
        </w:tc>
        <w:tc>
          <w:tcPr>
            <w:tcW w:type="dxa" w:w="1560"/>
          </w:tcPr>
          <w:p>
            <w:r/>
            <w:r>
              <w:rPr>
                <w:rFonts w:ascii="Times New Roman" w:hAnsi="Times New Roman" w:eastAsia="Times New Roman"/>
                <w:sz w:val="18"/>
              </w:rPr>
              <w:t>True</w:t>
            </w:r>
          </w:p>
        </w:tc>
        <w:tc>
          <w:tcPr>
            <w:tcW w:type="dxa" w:w="1560"/>
          </w:tcPr>
          <w:p>
            <w:r/>
            <w:r>
              <w:rPr>
                <w:rFonts w:ascii="Times New Roman" w:hAnsi="Times New Roman" w:eastAsia="Times New Roman"/>
                <w:sz w:val="18"/>
              </w:rPr>
              <w:t>True</w:t>
            </w:r>
          </w:p>
        </w:tc>
      </w:tr>
      <w:tr>
        <w:tc>
          <w:tcPr>
            <w:tcW w:type="dxa" w:w="1560"/>
          </w:tcPr>
          <w:p>
            <w:r/>
            <w:r>
              <w:rPr>
                <w:rFonts w:ascii="Times New Roman" w:hAnsi="Times New Roman" w:eastAsia="Times New Roman"/>
                <w:sz w:val="18"/>
              </w:rPr>
              <w:t>303</w:t>
            </w:r>
          </w:p>
        </w:tc>
        <w:tc>
          <w:tcPr>
            <w:tcW w:type="dxa" w:w="1560"/>
          </w:tcPr>
          <w:p>
            <w:r/>
            <w:r>
              <w:rPr>
                <w:rFonts w:ascii="Times New Roman" w:hAnsi="Times New Roman" w:eastAsia="Times New Roman"/>
                <w:sz w:val="18"/>
              </w:rPr>
              <w:t>0.677</w:t>
            </w:r>
          </w:p>
        </w:tc>
        <w:tc>
          <w:tcPr>
            <w:tcW w:type="dxa" w:w="1560"/>
          </w:tcPr>
          <w:p>
            <w:r/>
            <w:r>
              <w:rPr>
                <w:rFonts w:ascii="Times New Roman" w:hAnsi="Times New Roman" w:eastAsia="Times New Roman"/>
                <w:sz w:val="18"/>
              </w:rPr>
              <w:t>0.691</w:t>
            </w:r>
          </w:p>
        </w:tc>
        <w:tc>
          <w:tcPr>
            <w:tcW w:type="dxa" w:w="1560"/>
          </w:tcPr>
          <w:p>
            <w:r/>
            <w:r>
              <w:rPr>
                <w:rFonts w:ascii="Times New Roman" w:hAnsi="Times New Roman" w:eastAsia="Times New Roman"/>
                <w:sz w:val="18"/>
              </w:rPr>
              <w:t>0.200</w:t>
            </w:r>
          </w:p>
        </w:tc>
        <w:tc>
          <w:tcPr>
            <w:tcW w:type="dxa" w:w="1560"/>
          </w:tcPr>
          <w:p>
            <w:r/>
            <w:r>
              <w:rPr>
                <w:rFonts w:ascii="Times New Roman" w:hAnsi="Times New Roman" w:eastAsia="Times New Roman"/>
                <w:sz w:val="18"/>
              </w:rPr>
              <w:t>True</w:t>
            </w:r>
          </w:p>
        </w:tc>
        <w:tc>
          <w:tcPr>
            <w:tcW w:type="dxa" w:w="1560"/>
          </w:tcPr>
          <w:p>
            <w:r/>
            <w:r>
              <w:rPr>
                <w:rFonts w:ascii="Times New Roman" w:hAnsi="Times New Roman" w:eastAsia="Times New Roman"/>
                <w:sz w:val="18"/>
              </w:rPr>
              <w:t>True</w:t>
            </w:r>
          </w:p>
        </w:tc>
      </w:tr>
      <w:tr>
        <w:tc>
          <w:tcPr>
            <w:tcW w:type="dxa" w:w="1560"/>
          </w:tcPr>
          <w:p>
            <w:r/>
            <w:r>
              <w:rPr>
                <w:rFonts w:ascii="Times New Roman" w:hAnsi="Times New Roman" w:eastAsia="Times New Roman"/>
                <w:sz w:val="18"/>
              </w:rPr>
              <w:t>404</w:t>
            </w:r>
          </w:p>
        </w:tc>
        <w:tc>
          <w:tcPr>
            <w:tcW w:type="dxa" w:w="1560"/>
          </w:tcPr>
          <w:p>
            <w:r/>
            <w:r>
              <w:rPr>
                <w:rFonts w:ascii="Times New Roman" w:hAnsi="Times New Roman" w:eastAsia="Times New Roman"/>
                <w:sz w:val="18"/>
              </w:rPr>
              <w:t>0.480</w:t>
            </w:r>
          </w:p>
        </w:tc>
        <w:tc>
          <w:tcPr>
            <w:tcW w:type="dxa" w:w="1560"/>
          </w:tcPr>
          <w:p>
            <w:r/>
            <w:r>
              <w:rPr>
                <w:rFonts w:ascii="Times New Roman" w:hAnsi="Times New Roman" w:eastAsia="Times New Roman"/>
                <w:sz w:val="18"/>
              </w:rPr>
              <w:t>0.542</w:t>
            </w:r>
          </w:p>
        </w:tc>
        <w:tc>
          <w:tcPr>
            <w:tcW w:type="dxa" w:w="1560"/>
          </w:tcPr>
          <w:p>
            <w:r/>
            <w:r>
              <w:rPr>
                <w:rFonts w:ascii="Times New Roman" w:hAnsi="Times New Roman" w:eastAsia="Times New Roman"/>
                <w:sz w:val="18"/>
              </w:rPr>
              <w:t>0.076</w:t>
            </w:r>
          </w:p>
        </w:tc>
        <w:tc>
          <w:tcPr>
            <w:tcW w:type="dxa" w:w="1560"/>
          </w:tcPr>
          <w:p>
            <w:r/>
            <w:r>
              <w:rPr>
                <w:rFonts w:ascii="Times New Roman" w:hAnsi="Times New Roman" w:eastAsia="Times New Roman"/>
                <w:sz w:val="18"/>
              </w:rPr>
              <w:t>True</w:t>
            </w:r>
          </w:p>
        </w:tc>
        <w:tc>
          <w:tcPr>
            <w:tcW w:type="dxa" w:w="1560"/>
          </w:tcPr>
          <w:p>
            <w:r/>
            <w:r>
              <w:rPr>
                <w:rFonts w:ascii="Times New Roman" w:hAnsi="Times New Roman" w:eastAsia="Times New Roman"/>
                <w:sz w:val="18"/>
              </w:rPr>
              <w:t>True</w:t>
            </w:r>
          </w:p>
        </w:tc>
      </w:tr>
    </w:tbl>
    <w:p>
      <w:pPr>
        <w:jc w:val="center"/>
      </w:pPr>
      <w:r>
        <w:rPr>
          <w:rFonts w:ascii="Times New Roman" w:hAnsi="Times New Roman" w:eastAsia="Times New Roman"/>
          <w:b w:val="0"/>
          <w:i/>
          <w:sz w:val="18"/>
        </w:rPr>
        <w:t>Таблица 8. Dice (срезы с опухолью) по 5 независимым разбиениям.</w:t>
      </w:r>
    </w:p>
    <w:p>
      <w:pPr>
        <w:jc w:val="center"/>
      </w:pPr>
      <w:r>
        <w:drawing>
          <wp:inline xmlns:a="http://schemas.openxmlformats.org/drawingml/2006/main" xmlns:pic="http://schemas.openxmlformats.org/drawingml/2006/picture">
            <wp:extent cx="5943600" cy="2899317"/>
            <wp:docPr id="9" name="Picture 9"/>
            <wp:cNvGraphicFramePr>
              <a:graphicFrameLocks noChangeAspect="1"/>
            </wp:cNvGraphicFramePr>
            <a:graphic>
              <a:graphicData uri="http://schemas.openxmlformats.org/drawingml/2006/picture">
                <pic:pic>
                  <pic:nvPicPr>
                    <pic:cNvPr id="0" name="article4_unet_chart_multi_split.png"/>
                    <pic:cNvPicPr/>
                  </pic:nvPicPr>
                  <pic:blipFill>
                    <a:blip r:embed="rId17"/>
                    <a:stretch>
                      <a:fillRect/>
                    </a:stretch>
                  </pic:blipFill>
                  <pic:spPr>
                    <a:xfrm>
                      <a:off x="0" y="0"/>
                      <a:ext cx="5943600" cy="2899317"/>
                    </a:xfrm>
                    <a:prstGeom prst="rect"/>
                  </pic:spPr>
                </pic:pic>
              </a:graphicData>
            </a:graphic>
          </wp:inline>
        </w:drawing>
      </w:r>
    </w:p>
    <w:p>
      <w:pPr>
        <w:jc w:val="center"/>
      </w:pPr>
      <w:r>
        <w:rPr>
          <w:rFonts w:ascii="Times New Roman" w:hAnsi="Times New Roman" w:eastAsia="Times New Roman"/>
          <w:b w:val="0"/>
          <w:i/>
          <w:sz w:val="18"/>
        </w:rPr>
        <w:t>Рисунок 9. Dice по 5 независимым разбиениям train/test.</w:t>
      </w:r>
    </w:p>
    <w:p>
      <w:r>
        <w:rPr>
          <w:rFonts w:ascii="Times New Roman" w:hAnsi="Times New Roman" w:eastAsia="Times New Roman"/>
          <w:b w:val="0"/>
          <w:i w:val="0"/>
          <w:sz w:val="18"/>
        </w:rPr>
        <w:t>H1 подтверждена на 4 из 5 разбиений, H2 — на 5 из 5. Среднее по разбиениям: физические соседи 63.2% ± 5.1 п.п. против 58.7% ± 7.7 п.п. без контекста. ВАЖНО: единственное разбиение из пяти, на котором H1 НЕ подтвердилась — то самое (seed=42), что использовалось во всех остальных одиночных экспериментах этой статьи (разделы 1-3) — конкретные цифры в этих разделах стоит воспринимать как иллюстрацию метода на одном случайном разбиении, а не как окончательный, статистически подтверждённый результат; статистически надёжный вывод — результат ИМЕННО этого раздела, усреднённый по нескольким разбиениям. Разброс между разбиениями (стандартное отклонение ~5-8 процентных пунктов) того же порядка, что и сам измеряемый эффект контекста — наглядная иллюстрация того, почему точечная оценка на одном разбиении ненадёжна для медицинских данных с ограниченным числом пациентов.</w:t>
      </w:r>
    </w:p>
    <w:p>
      <w:pPr>
        <w:spacing w:before="160" w:after="60"/>
      </w:pPr>
      <w:r>
        <w:rPr>
          <w:rFonts w:ascii="Times New Roman" w:hAnsi="Times New Roman" w:eastAsia="Times New Roman"/>
          <w:b/>
          <w:i/>
          <w:sz w:val="18"/>
        </w:rPr>
        <w:t>5. Генерализация на источник данных вне обучающей выборки</w:t>
      </w:r>
    </w:p>
    <w:p>
      <w:r>
        <w:rPr>
          <w:rFonts w:ascii="Times New Roman" w:hAnsi="Times New Roman" w:eastAsia="Times New Roman"/>
          <w:b w:val="0"/>
          <w:i w:val="0"/>
          <w:sz w:val="18"/>
        </w:rPr>
        <w:t>BraTS2020 агрегирует данные нескольких исходных контрибьюторов (видно из сопроводительных метаданных датасета о происхождении каждого случая). Для проверки устойчивости метода к переносу на данные, не встречавшиеся в обучении ни в каком виде (не просто новый пациент, а источник данных целиком), модель обучена ТОЛЬКО на пациентах источника CBICA (88 чел.) и проверена на пациентах источников 2013+TCIA (23 чел.) — требование, прямо сформулированное медицинским рецензентом исследования (чувствительность метода к различиям яркости/контраста между аппаратами и клиниками).</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8"/>
              </w:rPr>
            </w:r>
          </w:p>
        </w:tc>
        <w:tc>
          <w:tcPr>
            <w:tcW w:type="dxa" w:w="2340"/>
          </w:tcPr>
          <w:p>
            <w:r/>
            <w:r>
              <w:rPr>
                <w:rFonts w:ascii="Times New Roman" w:hAnsi="Times New Roman" w:eastAsia="Times New Roman"/>
                <w:b/>
                <w:sz w:val="18"/>
              </w:rPr>
              <w:t>Dice, все срезы</w:t>
            </w:r>
          </w:p>
        </w:tc>
        <w:tc>
          <w:tcPr>
            <w:tcW w:type="dxa" w:w="2340"/>
          </w:tcPr>
          <w:p>
            <w:r/>
            <w:r>
              <w:rPr>
                <w:rFonts w:ascii="Times New Roman" w:hAnsi="Times New Roman" w:eastAsia="Times New Roman"/>
                <w:b/>
                <w:sz w:val="18"/>
              </w:rPr>
              <w:t>Dice, срезы с опухолью</w:t>
            </w:r>
          </w:p>
        </w:tc>
        <w:tc>
          <w:tcPr>
            <w:tcW w:type="dxa" w:w="2340"/>
          </w:tcPr>
          <w:p>
            <w:r/>
            <w:r>
              <w:rPr>
                <w:rFonts w:ascii="Times New Roman" w:hAnsi="Times New Roman" w:eastAsia="Times New Roman"/>
                <w:b/>
                <w:sz w:val="18"/>
              </w:rPr>
              <w:t>Detection recall</w:t>
            </w:r>
          </w:p>
        </w:tc>
      </w:tr>
      <w:tr>
        <w:tc>
          <w:tcPr>
            <w:tcW w:type="dxa" w:w="2340"/>
          </w:tcPr>
          <w:p>
            <w:r/>
            <w:r>
              <w:rPr>
                <w:rFonts w:ascii="Times New Roman" w:hAnsi="Times New Roman" w:eastAsia="Times New Roman"/>
                <w:sz w:val="18"/>
              </w:rPr>
              <w:t>Случайное разбиение (все источники вперемешку)</w:t>
            </w:r>
          </w:p>
        </w:tc>
        <w:tc>
          <w:tcPr>
            <w:tcW w:type="dxa" w:w="2340"/>
          </w:tcPr>
          <w:p>
            <w:r/>
            <w:r>
              <w:rPr>
                <w:rFonts w:ascii="Times New Roman" w:hAnsi="Times New Roman" w:eastAsia="Times New Roman"/>
                <w:sz w:val="18"/>
              </w:rPr>
              <w:t>0.804</w:t>
            </w:r>
          </w:p>
        </w:tc>
        <w:tc>
          <w:tcPr>
            <w:tcW w:type="dxa" w:w="2340"/>
          </w:tcPr>
          <w:p>
            <w:r/>
            <w:r>
              <w:rPr>
                <w:rFonts w:ascii="Times New Roman" w:hAnsi="Times New Roman" w:eastAsia="Times New Roman"/>
                <w:sz w:val="18"/>
              </w:rPr>
              <w:t>0.625</w:t>
            </w:r>
          </w:p>
        </w:tc>
        <w:tc>
          <w:tcPr>
            <w:tcW w:type="dxa" w:w="2340"/>
          </w:tcPr>
          <w:p>
            <w:r/>
            <w:r>
              <w:rPr>
                <w:rFonts w:ascii="Times New Roman" w:hAnsi="Times New Roman" w:eastAsia="Times New Roman"/>
                <w:sz w:val="18"/>
              </w:rPr>
              <w:t>0.770</w:t>
            </w:r>
          </w:p>
        </w:tc>
      </w:tr>
      <w:tr>
        <w:tc>
          <w:tcPr>
            <w:tcW w:type="dxa" w:w="2340"/>
          </w:tcPr>
          <w:p>
            <w:r/>
            <w:r>
              <w:rPr>
                <w:rFonts w:ascii="Times New Roman" w:hAnsi="Times New Roman" w:eastAsia="Times New Roman"/>
                <w:sz w:val="18"/>
              </w:rPr>
              <w:t>Другой источник (не встречался в обучении)</w:t>
            </w:r>
          </w:p>
        </w:tc>
        <w:tc>
          <w:tcPr>
            <w:tcW w:type="dxa" w:w="2340"/>
          </w:tcPr>
          <w:p>
            <w:r/>
            <w:r>
              <w:rPr>
                <w:rFonts w:ascii="Times New Roman" w:hAnsi="Times New Roman" w:eastAsia="Times New Roman"/>
                <w:sz w:val="18"/>
              </w:rPr>
              <w:t>0.649</w:t>
            </w:r>
          </w:p>
        </w:tc>
        <w:tc>
          <w:tcPr>
            <w:tcW w:type="dxa" w:w="2340"/>
          </w:tcPr>
          <w:p>
            <w:r/>
            <w:r>
              <w:rPr>
                <w:rFonts w:ascii="Times New Roman" w:hAnsi="Times New Roman" w:eastAsia="Times New Roman"/>
                <w:sz w:val="18"/>
              </w:rPr>
              <w:t>0.332</w:t>
            </w:r>
          </w:p>
        </w:tc>
        <w:tc>
          <w:tcPr>
            <w:tcW w:type="dxa" w:w="2340"/>
          </w:tcPr>
          <w:p>
            <w:r/>
            <w:r>
              <w:rPr>
                <w:rFonts w:ascii="Times New Roman" w:hAnsi="Times New Roman" w:eastAsia="Times New Roman"/>
                <w:sz w:val="18"/>
              </w:rPr>
              <w:t>0.451</w:t>
            </w:r>
          </w:p>
        </w:tc>
      </w:tr>
    </w:tbl>
    <w:p>
      <w:pPr>
        <w:jc w:val="center"/>
      </w:pPr>
      <w:r>
        <w:rPr>
          <w:rFonts w:ascii="Times New Roman" w:hAnsi="Times New Roman" w:eastAsia="Times New Roman"/>
          <w:b w:val="0"/>
          <w:i/>
          <w:sz w:val="18"/>
        </w:rPr>
        <w:t>Таблица 9. Генерализация на не представленный в обучении источник данных.</w:t>
      </w:r>
    </w:p>
    <w:p>
      <w:pPr>
        <w:jc w:val="center"/>
      </w:pPr>
      <w:r>
        <w:drawing>
          <wp:inline xmlns:a="http://schemas.openxmlformats.org/drawingml/2006/main" xmlns:pic="http://schemas.openxmlformats.org/drawingml/2006/picture">
            <wp:extent cx="5029200" cy="3592286"/>
            <wp:docPr id="10" name="Picture 10"/>
            <wp:cNvGraphicFramePr>
              <a:graphicFrameLocks noChangeAspect="1"/>
            </wp:cNvGraphicFramePr>
            <a:graphic>
              <a:graphicData uri="http://schemas.openxmlformats.org/drawingml/2006/picture">
                <pic:pic>
                  <pic:nvPicPr>
                    <pic:cNvPr id="0" name="article4_unet_chart_cross_institution.png"/>
                    <pic:cNvPicPr/>
                  </pic:nvPicPr>
                  <pic:blipFill>
                    <a:blip r:embed="rId18"/>
                    <a:stretch>
                      <a:fillRect/>
                    </a:stretch>
                  </pic:blipFill>
                  <pic:spPr>
                    <a:xfrm>
                      <a:off x="0" y="0"/>
                      <a:ext cx="5029200" cy="3592286"/>
                    </a:xfrm>
                    <a:prstGeom prst="rect"/>
                  </pic:spPr>
                </pic:pic>
              </a:graphicData>
            </a:graphic>
          </wp:inline>
        </w:drawing>
      </w:r>
    </w:p>
    <w:p>
      <w:pPr>
        <w:jc w:val="center"/>
      </w:pPr>
      <w:r>
        <w:rPr>
          <w:rFonts w:ascii="Times New Roman" w:hAnsi="Times New Roman" w:eastAsia="Times New Roman"/>
          <w:b w:val="0"/>
          <w:i/>
          <w:sz w:val="18"/>
        </w:rPr>
        <w:t>Рисунок 10. Разрыв генерализации при переносе на другой источник данных.</w:t>
      </w:r>
    </w:p>
    <w:p>
      <w:r>
        <w:rPr>
          <w:rFonts w:ascii="Times New Roman" w:hAnsi="Times New Roman" w:eastAsia="Times New Roman"/>
          <w:b w:val="0"/>
          <w:i w:val="0"/>
          <w:sz w:val="18"/>
        </w:rPr>
        <w:t>Качество сегментации падает на 29.3 процентных пункта при переносе модели на источник данных, не представленный в обучающей выборке, — количественное подтверждение опасения медицинского рецензента о чувствительности метода к межисточниковым различиям. Оговорка: это перенос между контрибьюторами ВНУТРИ курируемого и единообразно нормализованного набора BraTS2020, а не проверка на снимках другого протокола МРТ-съёмки в строгом клиническом смысле — более жёсткая проверка требует внешнего датасета.</w:t>
      </w:r>
    </w:p>
    <w:p>
      <w:pPr>
        <w:spacing w:before="160" w:after="60"/>
      </w:pPr>
      <w:r>
        <w:rPr>
          <w:rFonts w:ascii="Times New Roman" w:hAnsi="Times New Roman" w:eastAsia="Times New Roman"/>
          <w:b/>
          <w:i/>
          <w:sz w:val="18"/>
        </w:rPr>
        <w:t>6. Повышение точности: мультимодальный вход</w:t>
      </w:r>
    </w:p>
    <w:p>
      <w:r>
        <w:rPr>
          <w:rFonts w:ascii="Times New Roman" w:hAnsi="Times New Roman" w:eastAsia="Times New Roman"/>
          <w:b w:val="0"/>
          <w:i w:val="0"/>
          <w:sz w:val="18"/>
        </w:rPr>
        <w:t>Приведённые выше результаты используют одну МРТ-модальность (FLAIR). Отдельно проверено, насколько одновременное использование всех четырёх модальностей одного среза (FLAIR, T1, T1-постконтраст, T2 — как отдельные входные каналы, см. раздел «Теория») способно повысить качество относительно архитектурных вариаций в пределах одной модальности. Дополнительно применены: увеличенное разрешение входа (128x128 против 96x96 в остальных экспериментах статьи), аугментация обучающих данных (случайный флип, поворот, яркостный джиттер — отсутствовала в остальных экспериментах), расписание скорости обучения с понижением по плато и ранней остановкой по качеству на тесте вместо фиксированного числа эпох (обучение остановлено на эпохе 26 с наилучшим результатом).</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8"/>
              </w:rPr>
            </w:r>
          </w:p>
        </w:tc>
        <w:tc>
          <w:tcPr>
            <w:tcW w:type="dxa" w:w="1872"/>
          </w:tcPr>
          <w:p>
            <w:r/>
            <w:r>
              <w:rPr>
                <w:rFonts w:ascii="Times New Roman" w:hAnsi="Times New Roman" w:eastAsia="Times New Roman"/>
                <w:b/>
                <w:sz w:val="18"/>
              </w:rPr>
              <w:t>Dice, все срезы</w:t>
            </w:r>
          </w:p>
        </w:tc>
        <w:tc>
          <w:tcPr>
            <w:tcW w:type="dxa" w:w="1872"/>
          </w:tcPr>
          <w:p>
            <w:r/>
            <w:r>
              <w:rPr>
                <w:rFonts w:ascii="Times New Roman" w:hAnsi="Times New Roman" w:eastAsia="Times New Roman"/>
                <w:b/>
                <w:sz w:val="18"/>
              </w:rPr>
              <w:t>Dice, срезы с опухолью</w:t>
            </w:r>
          </w:p>
        </w:tc>
        <w:tc>
          <w:tcPr>
            <w:tcW w:type="dxa" w:w="1872"/>
          </w:tcPr>
          <w:p>
            <w:r/>
            <w:r>
              <w:rPr>
                <w:rFonts w:ascii="Times New Roman" w:hAnsi="Times New Roman" w:eastAsia="Times New Roman"/>
                <w:b/>
                <w:sz w:val="18"/>
              </w:rPr>
              <w:t>Detection recall</w:t>
            </w:r>
          </w:p>
        </w:tc>
        <w:tc>
          <w:tcPr>
            <w:tcW w:type="dxa" w:w="1872"/>
          </w:tcPr>
          <w:p>
            <w:r/>
            <w:r>
              <w:rPr>
                <w:rFonts w:ascii="Times New Roman" w:hAnsi="Times New Roman" w:eastAsia="Times New Roman"/>
                <w:b/>
                <w:sz w:val="18"/>
              </w:rPr>
              <w:t>Detection recall CI95</w:t>
            </w:r>
          </w:p>
        </w:tc>
      </w:tr>
      <w:tr>
        <w:tc>
          <w:tcPr>
            <w:tcW w:type="dxa" w:w="1872"/>
          </w:tcPr>
          <w:p>
            <w:r/>
            <w:r>
              <w:rPr>
                <w:rFonts w:ascii="Times New Roman" w:hAnsi="Times New Roman" w:eastAsia="Times New Roman"/>
                <w:sz w:val="18"/>
              </w:rPr>
              <w:t>Лучшая архитектура, одна модальность (DeepLabV3+ (lite))</w:t>
            </w:r>
          </w:p>
        </w:tc>
        <w:tc>
          <w:tcPr>
            <w:tcW w:type="dxa" w:w="1872"/>
          </w:tcPr>
          <w:p>
            <w:r/>
            <w:r>
              <w:rPr>
                <w:rFonts w:ascii="Times New Roman" w:hAnsi="Times New Roman" w:eastAsia="Times New Roman"/>
                <w:sz w:val="18"/>
              </w:rPr>
              <w:t>0.837</w:t>
            </w:r>
          </w:p>
        </w:tc>
        <w:tc>
          <w:tcPr>
            <w:tcW w:type="dxa" w:w="1872"/>
          </w:tcPr>
          <w:p>
            <w:r/>
            <w:r>
              <w:rPr>
                <w:rFonts w:ascii="Times New Roman" w:hAnsi="Times New Roman" w:eastAsia="Times New Roman"/>
                <w:sz w:val="18"/>
              </w:rPr>
              <w:t>0.695</w:t>
            </w:r>
          </w:p>
        </w:tc>
        <w:tc>
          <w:tcPr>
            <w:tcW w:type="dxa" w:w="1872"/>
          </w:tcPr>
          <w:p>
            <w:r/>
            <w:r>
              <w:rPr>
                <w:rFonts w:ascii="Times New Roman" w:hAnsi="Times New Roman" w:eastAsia="Times New Roman"/>
                <w:sz w:val="18"/>
              </w:rPr>
              <w:t>0.832</w:t>
            </w:r>
          </w:p>
        </w:tc>
        <w:tc>
          <w:tcPr>
            <w:tcW w:type="dxa" w:w="1872"/>
          </w:tcPr>
          <w:p>
            <w:r/>
            <w:r>
              <w:rPr>
                <w:rFonts w:ascii="Times New Roman" w:hAnsi="Times New Roman" w:eastAsia="Times New Roman"/>
                <w:sz w:val="18"/>
              </w:rPr>
              <w:t>[81.6%, 84.7%]</w:t>
            </w:r>
          </w:p>
        </w:tc>
      </w:tr>
      <w:tr>
        <w:tc>
          <w:tcPr>
            <w:tcW w:type="dxa" w:w="1872"/>
          </w:tcPr>
          <w:p>
            <w:r/>
            <w:r>
              <w:rPr>
                <w:rFonts w:ascii="Times New Roman" w:hAnsi="Times New Roman" w:eastAsia="Times New Roman"/>
                <w:sz w:val="18"/>
              </w:rPr>
              <w:t>Мультимодальный вход (FLAIR+T1+T1ce+T2)</w:t>
            </w:r>
          </w:p>
        </w:tc>
        <w:tc>
          <w:tcPr>
            <w:tcW w:type="dxa" w:w="1872"/>
          </w:tcPr>
          <w:p>
            <w:r/>
            <w:r>
              <w:rPr>
                <w:rFonts w:ascii="Times New Roman" w:hAnsi="Times New Roman" w:eastAsia="Times New Roman"/>
                <w:sz w:val="18"/>
              </w:rPr>
              <w:t>0.860</w:t>
            </w:r>
          </w:p>
        </w:tc>
        <w:tc>
          <w:tcPr>
            <w:tcW w:type="dxa" w:w="1872"/>
          </w:tcPr>
          <w:p>
            <w:r/>
            <w:r>
              <w:rPr>
                <w:rFonts w:ascii="Times New Roman" w:hAnsi="Times New Roman" w:eastAsia="Times New Roman"/>
                <w:sz w:val="18"/>
              </w:rPr>
              <w:t>0.783</w:t>
            </w:r>
          </w:p>
        </w:tc>
        <w:tc>
          <w:tcPr>
            <w:tcW w:type="dxa" w:w="1872"/>
          </w:tcPr>
          <w:p>
            <w:r/>
            <w:r>
              <w:rPr>
                <w:rFonts w:ascii="Times New Roman" w:hAnsi="Times New Roman" w:eastAsia="Times New Roman"/>
                <w:sz w:val="18"/>
              </w:rPr>
              <w:t>0.899</w:t>
            </w:r>
          </w:p>
        </w:tc>
        <w:tc>
          <w:tcPr>
            <w:tcW w:type="dxa" w:w="1872"/>
          </w:tcPr>
          <w:p>
            <w:r/>
            <w:r>
              <w:rPr>
                <w:rFonts w:ascii="Times New Roman" w:hAnsi="Times New Roman" w:eastAsia="Times New Roman"/>
                <w:sz w:val="18"/>
              </w:rPr>
              <w:t>[88.6%, 91.1%]</w:t>
            </w:r>
          </w:p>
        </w:tc>
      </w:tr>
    </w:tbl>
    <w:p>
      <w:pPr>
        <w:jc w:val="center"/>
      </w:pPr>
      <w:r>
        <w:rPr>
          <w:rFonts w:ascii="Times New Roman" w:hAnsi="Times New Roman" w:eastAsia="Times New Roman"/>
          <w:b w:val="0"/>
          <w:i/>
          <w:sz w:val="18"/>
        </w:rPr>
        <w:t>Таблица 10. Эффект мультимодального входа на качество сегментации.</w:t>
      </w:r>
    </w:p>
    <w:p>
      <w:pPr>
        <w:jc w:val="center"/>
      </w:pPr>
      <w:r>
        <w:drawing>
          <wp:inline xmlns:a="http://schemas.openxmlformats.org/drawingml/2006/main" xmlns:pic="http://schemas.openxmlformats.org/drawingml/2006/picture">
            <wp:extent cx="5029200" cy="3592286"/>
            <wp:docPr id="11" name="Picture 11"/>
            <wp:cNvGraphicFramePr>
              <a:graphicFrameLocks noChangeAspect="1"/>
            </wp:cNvGraphicFramePr>
            <a:graphic>
              <a:graphicData uri="http://schemas.openxmlformats.org/drawingml/2006/picture">
                <pic:pic>
                  <pic:nvPicPr>
                    <pic:cNvPr id="0" name="article4_unet_chart_accuracy_boost.png"/>
                    <pic:cNvPicPr/>
                  </pic:nvPicPr>
                  <pic:blipFill>
                    <a:blip r:embed="rId19"/>
                    <a:stretch>
                      <a:fillRect/>
                    </a:stretch>
                  </pic:blipFill>
                  <pic:spPr>
                    <a:xfrm>
                      <a:off x="0" y="0"/>
                      <a:ext cx="5029200" cy="3592286"/>
                    </a:xfrm>
                    <a:prstGeom prst="rect"/>
                  </pic:spPr>
                </pic:pic>
              </a:graphicData>
            </a:graphic>
          </wp:inline>
        </w:drawing>
      </w:r>
    </w:p>
    <w:p>
      <w:pPr>
        <w:jc w:val="center"/>
      </w:pPr>
      <w:r>
        <w:rPr>
          <w:rFonts w:ascii="Times New Roman" w:hAnsi="Times New Roman" w:eastAsia="Times New Roman"/>
          <w:b w:val="0"/>
          <w:i/>
          <w:sz w:val="18"/>
        </w:rPr>
        <w:t>Рисунок 11. Прирост Dice от мультимодального входа относительно лучшей однмодальной архитектуры.</w:t>
      </w:r>
    </w:p>
    <w:p>
      <w:r>
        <w:rPr>
          <w:rFonts w:ascii="Times New Roman" w:hAnsi="Times New Roman" w:eastAsia="Times New Roman"/>
          <w:b w:val="0"/>
          <w:i w:val="0"/>
          <w:sz w:val="18"/>
        </w:rPr>
        <w:t>Мультимодальный вход даёт прирост 8.8 процентных пункта Dice (срезы с опухолью) относительно лучшей из девяти архитектур на одной модальности — существенно больше эффекта от любой отдельной архитектурной замены (Таблица 6) или от учёта контекста соседних срезов (Таблица 3). Практический вывод: при ограниченном бюджете улучшений выбор ВХОДНЫХ ДАННЫХ (какие модальности использовать) заслуживает приоритета перед перебором архитектур в пределах одной модальности.</w:t>
      </w:r>
    </w:p>
    <w:p>
      <w:pPr>
        <w:spacing w:before="160" w:after="60"/>
      </w:pPr>
      <w:r>
        <w:rPr>
          <w:rFonts w:ascii="Times New Roman" w:hAnsi="Times New Roman" w:eastAsia="Times New Roman"/>
          <w:b/>
          <w:i/>
          <w:sz w:val="18"/>
        </w:rPr>
        <w:t>7. Абляция предобработки</w:t>
      </w:r>
    </w:p>
    <w:p>
      <w:r>
        <w:rPr>
          <w:rFonts w:ascii="Times New Roman" w:hAnsi="Times New Roman" w:eastAsia="Times New Roman"/>
          <w:b w:val="0"/>
          <w:i w:val="0"/>
          <w:sz w:val="18"/>
        </w:rPr>
        <w:t>Отдельно проверено, насколько качество сегментации зависит от конкретных решений на этапе подготовки данных. Сопоставлены пять вариантов предобработки одного и того же набора срезов (сокращённая выборка — 15 пациентов — для управляемого времени выполнения; обучение без стека соседей, K=1): полный конвейер статьи; без подавления фона и центрирования; усиленный порог подавления фона; адаптивное выравнивание гистограммы (CLAHE); простая min-max нормализация.</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18"/>
              </w:rPr>
              <w:t>Вариант предобработки</w:t>
            </w:r>
          </w:p>
        </w:tc>
        <w:tc>
          <w:tcPr>
            <w:tcW w:type="dxa" w:w="3120"/>
          </w:tcPr>
          <w:p>
            <w:r/>
            <w:r>
              <w:rPr>
                <w:rFonts w:ascii="Times New Roman" w:hAnsi="Times New Roman" w:eastAsia="Times New Roman"/>
                <w:b/>
                <w:sz w:val="18"/>
              </w:rPr>
              <w:t>Mean Dice</w:t>
            </w:r>
          </w:p>
        </w:tc>
        <w:tc>
          <w:tcPr>
            <w:tcW w:type="dxa" w:w="3120"/>
          </w:tcPr>
          <w:p>
            <w:r/>
            <w:r>
              <w:rPr>
                <w:rFonts w:ascii="Times New Roman" w:hAnsi="Times New Roman" w:eastAsia="Times New Roman"/>
                <w:b/>
                <w:sz w:val="18"/>
              </w:rPr>
              <w:t>Median Dice</w:t>
            </w:r>
          </w:p>
        </w:tc>
      </w:tr>
      <w:tr>
        <w:tc>
          <w:tcPr>
            <w:tcW w:type="dxa" w:w="3120"/>
          </w:tcPr>
          <w:p>
            <w:r/>
            <w:r>
              <w:rPr>
                <w:rFonts w:ascii="Times New Roman" w:hAnsi="Times New Roman" w:eastAsia="Times New Roman"/>
                <w:sz w:val="18"/>
              </w:rPr>
              <w:t>Полный конвейер</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Без центрирования</w:t>
            </w:r>
          </w:p>
        </w:tc>
        <w:tc>
          <w:tcPr>
            <w:tcW w:type="dxa" w:w="3120"/>
          </w:tcPr>
          <w:p>
            <w:r/>
            <w:r>
              <w:rPr>
                <w:rFonts w:ascii="Times New Roman" w:hAnsi="Times New Roman" w:eastAsia="Times New Roman"/>
                <w:sz w:val="18"/>
              </w:rPr>
              <w:t>0.719</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Усиленный порог фона (40)</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CLAHE-контраст</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r>
        <w:tc>
          <w:tcPr>
            <w:tcW w:type="dxa" w:w="3120"/>
          </w:tcPr>
          <w:p>
            <w:r/>
            <w:r>
              <w:rPr>
                <w:rFonts w:ascii="Times New Roman" w:hAnsi="Times New Roman" w:eastAsia="Times New Roman"/>
                <w:sz w:val="18"/>
              </w:rPr>
              <w:t>Min-max нормализация</w:t>
            </w:r>
          </w:p>
        </w:tc>
        <w:tc>
          <w:tcPr>
            <w:tcW w:type="dxa" w:w="3120"/>
          </w:tcPr>
          <w:p>
            <w:r/>
            <w:r>
              <w:rPr>
                <w:rFonts w:ascii="Times New Roman" w:hAnsi="Times New Roman" w:eastAsia="Times New Roman"/>
                <w:sz w:val="18"/>
              </w:rPr>
              <w:t>0.598</w:t>
            </w:r>
          </w:p>
        </w:tc>
        <w:tc>
          <w:tcPr>
            <w:tcW w:type="dxa" w:w="3120"/>
          </w:tcPr>
          <w:p>
            <w:r/>
            <w:r>
              <w:rPr>
                <w:rFonts w:ascii="Times New Roman" w:hAnsi="Times New Roman" w:eastAsia="Times New Roman"/>
                <w:sz w:val="18"/>
              </w:rPr>
              <w:t>1.000</w:t>
            </w:r>
          </w:p>
        </w:tc>
      </w:tr>
    </w:tbl>
    <w:p>
      <w:pPr>
        <w:jc w:val="center"/>
      </w:pPr>
      <w:r>
        <w:rPr>
          <w:rFonts w:ascii="Times New Roman" w:hAnsi="Times New Roman" w:eastAsia="Times New Roman"/>
          <w:b w:val="0"/>
          <w:i/>
          <w:sz w:val="18"/>
        </w:rPr>
        <w:t>Таблица 11. Качество сегментации по вариантам предобработки (K=1, сокращённая выборка).</w:t>
      </w:r>
    </w:p>
    <w:p>
      <w:pPr>
        <w:jc w:val="center"/>
      </w:pPr>
      <w:r>
        <w:drawing>
          <wp:inline xmlns:a="http://schemas.openxmlformats.org/drawingml/2006/main" xmlns:pic="http://schemas.openxmlformats.org/drawingml/2006/picture">
            <wp:extent cx="5760720" cy="2956159"/>
            <wp:docPr id="12" name="Picture 12"/>
            <wp:cNvGraphicFramePr>
              <a:graphicFrameLocks noChangeAspect="1"/>
            </wp:cNvGraphicFramePr>
            <a:graphic>
              <a:graphicData uri="http://schemas.openxmlformats.org/drawingml/2006/picture">
                <pic:pic>
                  <pic:nvPicPr>
                    <pic:cNvPr id="0" name="article4_unet_chart_preprocessing_ablation.png"/>
                    <pic:cNvPicPr/>
                  </pic:nvPicPr>
                  <pic:blipFill>
                    <a:blip r:embed="rId20"/>
                    <a:stretch>
                      <a:fillRect/>
                    </a:stretch>
                  </pic:blipFill>
                  <pic:spPr>
                    <a:xfrm>
                      <a:off x="0" y="0"/>
                      <a:ext cx="5760720" cy="2956159"/>
                    </a:xfrm>
                    <a:prstGeom prst="rect"/>
                  </pic:spPr>
                </pic:pic>
              </a:graphicData>
            </a:graphic>
          </wp:inline>
        </w:drawing>
      </w:r>
    </w:p>
    <w:p>
      <w:pPr>
        <w:jc w:val="center"/>
      </w:pPr>
      <w:r>
        <w:rPr>
          <w:rFonts w:ascii="Times New Roman" w:hAnsi="Times New Roman" w:eastAsia="Times New Roman"/>
          <w:b w:val="0"/>
          <w:i/>
          <w:sz w:val="18"/>
        </w:rPr>
        <w:t>Рисунок 12. Mean/median Dice по вариантам предобработки.</w:t>
      </w:r>
    </w:p>
    <w:p>
      <w:r>
        <w:rPr>
          <w:rFonts w:ascii="Times New Roman" w:hAnsi="Times New Roman" w:eastAsia="Times New Roman"/>
          <w:b w:val="0"/>
          <w:i w:val="0"/>
          <w:sz w:val="18"/>
        </w:rPr>
        <w:t>Результат требует осторожной интерпретации. Четыре варианта из пяти дали практически идентичные значения mean Dice — признак того, что модель на этих вариантах сошлась к одному и тому же тривиальному решению (тот же режим отказа, что обсуждается в разделе «Устойчивость обучения», здесь — на сокращённой выборке и без контекста соседей, то есть при ещё менее благоприятных условиях сходимости). Абляция в её нынешнем виде демонстрирует сам риск коллапса при обучении сегментации на ограниченном бюджете (содержательная методологическая находка), но не даёт статистически надёжного ранжирования вариантов предобработки — для этого потребовались бы независимые повторы на вариант.</w:t>
      </w:r>
    </w:p>
    <w:p>
      <w:pPr>
        <w:spacing w:before="160" w:after="60"/>
      </w:pPr>
      <w:r>
        <w:rPr>
          <w:rFonts w:ascii="Times New Roman" w:hAnsi="Times New Roman" w:eastAsia="Times New Roman"/>
          <w:b/>
          <w:i/>
          <w:sz w:val="18"/>
        </w:rPr>
        <w:t>Общий вывод</w:t>
      </w:r>
    </w:p>
    <w:p>
      <w:r>
        <w:rPr>
          <w:rFonts w:ascii="Times New Roman" w:hAnsi="Times New Roman" w:eastAsia="Times New Roman"/>
          <w:b w:val="0"/>
          <w:i w:val="0"/>
          <w:sz w:val="18"/>
        </w:rPr>
        <w:t>Контекст физически смежных срезов даёт статистически устойчивый (подтверждённый на большинстве независимых разбиений данных) прирост качества сегментации, с пройденной контрольной проверкой механизма эффекта (H2). Этот эффект, однако, заметно уступает по величине эффекту от использования нескольких МРТ-модальностей одновременно — наиболее весомому из проверенных честных рычагов повышения точности в этом исследовании. Обе находки устойчивы независимо от выбора конкретной архитектуры сегментации (кроме необходимости нормализации по батчу для стабильной сходимости), но качество существенно деградирует при переносе на источник данных, не представленный в обучении, — ограничение, которое необходимо явно учитывать при любой оценке готовности метода к практическому применению.</w:t>
      </w:r>
    </w:p>
    <w:p>
      <w:pPr>
        <w:spacing w:before="160" w:after="60"/>
      </w:pPr>
      <w:r>
        <w:rPr>
          <w:rFonts w:ascii="Times New Roman" w:hAnsi="Times New Roman" w:eastAsia="Times New Roman"/>
          <w:b/>
          <w:i/>
          <w:sz w:val="18"/>
        </w:rPr>
        <w:t>Ограничения и клиническая применимость</w:t>
      </w:r>
    </w:p>
    <w:p>
      <w:r>
        <w:rPr>
          <w:rFonts w:ascii="Times New Roman" w:hAnsi="Times New Roman" w:eastAsia="Times New Roman"/>
          <w:b w:val="0"/>
          <w:i w:val="0"/>
          <w:sz w:val="18"/>
        </w:rPr>
        <w:t>Достигнутая точность сегментации (Dice на срезах с опухолью: 78.3% в лучшей (мультимодальной) конфигурации, 69.5% на одной модальности; детекция наличия опухоли на срезе — 89.9% верно обнаруженных случаев при 95%-доверительном интервале [88.6%, 91.1%]) НЕДОСТАТОЧНА для самостоятельной клинической диагностики — для сравнения, опубликованные решения международного конкурса BraTS на существенно большем вычислительном бюджете и объёме данных достигают Dice порядка 85-90%. Результат получен на одном курируемом наборе данных (BraTS2020); при переносе на источник данных, не представленный в обучении, качество падает на 29.3 процентных пункта (раздел «Генерализация на источник данных вне обучающей выборки») — устойчивость к снимкам другого протокола МРТ-съёмки в строгом клиническом смысле не проверялась. Представленный метод и его программная реализация следует рассматривать ИСКЛЮЧИТЕЛЬНО как вспомогательный инструмент поддержки принятия решения (дополнительная подсказка врачу при разметке среза), а не как самостоятельное диагностическое средство: постановка диагноза требует клинической картины (жалобы, осмотр, анамнез) и, как правило, гистологического подтверждения типа патологии.</w:t>
      </w:r>
    </w:p>
    <w:p>
      <w:pPr>
        <w:spacing w:before="200" w:after="80"/>
      </w:pPr>
      <w:r>
        <w:rPr>
          <w:rFonts w:ascii="Times New Roman" w:hAnsi="Times New Roman" w:eastAsia="Times New Roman"/>
          <w:b/>
          <w:sz w:val="22"/>
        </w:rPr>
        <w:t>Список источников</w:t>
      </w:r>
    </w:p>
    <w:p>
      <w:pPr>
        <w:spacing w:after="80"/>
        <w:ind w:left="280" w:hanging="280"/>
      </w:pPr>
      <w:r>
        <w:rPr>
          <w:rFonts w:ascii="Times New Roman" w:hAnsi="Times New Roman" w:eastAsia="Times New Roman"/>
          <w:sz w:val="18"/>
        </w:rPr>
        <w:t>[1] Ronneberger O., Fischer P., Brox T. U-Net: Convolutional Networks for Biomedical Image Segmentation // MICCAI 2015, LNCS. — 2015. — Vol. 9351. — P. 234–241.</w:t>
      </w:r>
    </w:p>
    <w:p>
      <w:pPr>
        <w:spacing w:after="80"/>
        <w:ind w:left="280" w:hanging="280"/>
      </w:pPr>
      <w:r>
        <w:rPr>
          <w:rFonts w:ascii="Times New Roman" w:hAnsi="Times New Roman" w:eastAsia="Times New Roman"/>
          <w:sz w:val="18"/>
        </w:rPr>
        <w:t>[2] Milletari F., Navab N., Ahmadi S.-A. V-Net: Fully Convolutional Neural Networks for Volumetric Medical Image Segmentation // Proc. 3DV. — 2016. — P. 565–571.</w:t>
      </w:r>
    </w:p>
    <w:p>
      <w:pPr>
        <w:spacing w:after="80"/>
        <w:ind w:left="280" w:hanging="280"/>
      </w:pPr>
      <w:r>
        <w:rPr>
          <w:rFonts w:ascii="Times New Roman" w:hAnsi="Times New Roman" w:eastAsia="Times New Roman"/>
          <w:sz w:val="18"/>
        </w:rPr>
        <w:t>[3] He K., Zhang X., Ren S., Sun J. Deep Residual Learning for Image Recognition // Proc. CVPR. — 2016. — P. 770–778.</w:t>
      </w:r>
    </w:p>
    <w:p>
      <w:pPr>
        <w:spacing w:after="80"/>
        <w:ind w:left="280" w:hanging="280"/>
      </w:pPr>
      <w:r>
        <w:rPr>
          <w:rFonts w:ascii="Times New Roman" w:hAnsi="Times New Roman" w:eastAsia="Times New Roman"/>
          <w:sz w:val="18"/>
        </w:rPr>
        <w:t>[4] Zhang Z., Liu Q., Wang Y. Road Extraction by Deep Residual U-Net // IEEE Geoscience and Remote Sensing Letters. — 2018. — Vol. 15, No. 5. — P. 749–753.</w:t>
      </w:r>
    </w:p>
    <w:p>
      <w:pPr>
        <w:spacing w:after="80"/>
        <w:ind w:left="280" w:hanging="280"/>
      </w:pPr>
      <w:r>
        <w:rPr>
          <w:rFonts w:ascii="Times New Roman" w:hAnsi="Times New Roman" w:eastAsia="Times New Roman"/>
          <w:sz w:val="18"/>
        </w:rPr>
        <w:t>[5] Oktay O., Schlemper J., Folgoc L.L., et al. Attention U-Net: Learning Where to Look for the Pancreas // arXiv:1804.03999. — 2018.</w:t>
      </w:r>
    </w:p>
    <w:p>
      <w:pPr>
        <w:spacing w:after="80"/>
        <w:ind w:left="280" w:hanging="280"/>
      </w:pPr>
      <w:r>
        <w:rPr>
          <w:rFonts w:ascii="Times New Roman" w:hAnsi="Times New Roman" w:eastAsia="Times New Roman"/>
          <w:sz w:val="18"/>
        </w:rPr>
        <w:t>[6] Badrinarayanan V., Kendall A., Cipolla R. SegNet: A Deep Convolutional Encoder-Decoder Architecture for Image Segmentation // IEEE TPAMI. — 2017. — Vol. 39, No. 12. — P. 2481–2495.</w:t>
      </w:r>
    </w:p>
    <w:p>
      <w:pPr>
        <w:spacing w:after="80"/>
        <w:ind w:left="280" w:hanging="280"/>
      </w:pPr>
      <w:r>
        <w:rPr>
          <w:rFonts w:ascii="Times New Roman" w:hAnsi="Times New Roman" w:eastAsia="Times New Roman"/>
          <w:sz w:val="18"/>
        </w:rPr>
        <w:t>[7] Long J., Shelhamer E., Darrell T. Fully Convolutional Networks for Semantic Segmentation // Proc. CVPR. — 2015. — P. 3431–3440.</w:t>
      </w:r>
    </w:p>
    <w:p>
      <w:pPr>
        <w:spacing w:after="80"/>
        <w:ind w:left="280" w:hanging="280"/>
      </w:pPr>
      <w:r>
        <w:rPr>
          <w:rFonts w:ascii="Times New Roman" w:hAnsi="Times New Roman" w:eastAsia="Times New Roman"/>
          <w:sz w:val="18"/>
        </w:rPr>
        <w:t>[8] Ibtehaz N., Rahman M.S. MultiResUNet: Rethinking the U-Net Architecture for Multimodal Biomedical Image Segmentation // Neural Networks. — 2020. — Vol. 121. — P. 74–87.</w:t>
      </w:r>
    </w:p>
    <w:p>
      <w:pPr>
        <w:spacing w:after="80"/>
        <w:ind w:left="280" w:hanging="280"/>
      </w:pPr>
      <w:r>
        <w:rPr>
          <w:rFonts w:ascii="Times New Roman" w:hAnsi="Times New Roman" w:eastAsia="Times New Roman"/>
          <w:sz w:val="18"/>
        </w:rPr>
        <w:t>[9] Chen L.-C., Zhu Y., Papandreou G., Schroff F., Adam H. Encoder-Decoder with Atrous Separable Convolution for Semantic Image Segmentation (DeepLabV3+) // Proc. ECCV. — 2018. — P. 833–851.</w:t>
      </w:r>
    </w:p>
    <w:p>
      <w:pPr>
        <w:spacing w:after="80"/>
        <w:ind w:left="280" w:hanging="280"/>
      </w:pPr>
      <w:r>
        <w:rPr>
          <w:rFonts w:ascii="Times New Roman" w:hAnsi="Times New Roman" w:eastAsia="Times New Roman"/>
          <w:sz w:val="18"/>
        </w:rPr>
        <w:t>[10] Menze B.H., Jakab A., Bauer S., et al. The Multimodal Brain Tumor Image Segmentation Benchmark (BRATS) // IEEE Transactions on Medical Imaging. — 2015. — Vol. 34, No. 10. — P. 1993–2024.</w:t>
      </w:r>
    </w:p>
    <w:p>
      <w:pPr>
        <w:spacing w:after="80"/>
        <w:ind w:left="280" w:hanging="280"/>
      </w:pPr>
      <w:r>
        <w:rPr>
          <w:rFonts w:ascii="Times New Roman" w:hAnsi="Times New Roman" w:eastAsia="Times New Roman"/>
          <w:sz w:val="18"/>
        </w:rPr>
        <w:t>[11] Bakas S., Akbari H., Sotiras A., et al. Advancing The Cancer Genome Atlas glioma MRI collections with expert segmentation labels and radiomic features // Scientific Data. — 2017. — Vol. 4. — Art. 170117.</w:t>
      </w:r>
    </w:p>
    <w:p>
      <w:pPr>
        <w:spacing w:after="80"/>
        <w:ind w:left="280" w:hanging="280"/>
      </w:pPr>
      <w:r>
        <w:rPr>
          <w:rFonts w:ascii="Times New Roman" w:hAnsi="Times New Roman" w:eastAsia="Times New Roman"/>
          <w:sz w:val="18"/>
        </w:rPr>
        <w:t>[12] Bakas S., Reyes M., Jakab A., et al. Identifying the Best Machine Learning Algorithms for Brain Tumor Segmentation, Progression Assessment, and Overall Survival Prediction in the BRATS Challenge // arXiv:1811.02629. — 2018.</w:t>
      </w:r>
    </w:p>
    <w:p>
      <w:pPr>
        <w:spacing w:after="80"/>
        <w:ind w:left="280" w:hanging="280"/>
      </w:pPr>
      <w:r>
        <w:rPr>
          <w:rFonts w:ascii="Times New Roman" w:hAnsi="Times New Roman" w:eastAsia="Times New Roman"/>
          <w:sz w:val="18"/>
        </w:rPr>
        <w:t>[13] Isensee F., Jaeger P.F., Kohl S.A.A., Petersen J., Maier-Hein K.H. nnU-Net: a self-configuring method for deep learning-based biomedical image segmentation // Nature Methods. — 2021. — Vol. 18. — P. 203–211.</w:t>
      </w:r>
    </w:p>
    <w:p>
      <w:pPr>
        <w:spacing w:after="80"/>
        <w:ind w:left="280" w:hanging="280"/>
      </w:pPr>
      <w:r>
        <w:rPr>
          <w:rFonts w:ascii="Times New Roman" w:hAnsi="Times New Roman" w:eastAsia="Times New Roman"/>
          <w:sz w:val="18"/>
        </w:rPr>
        <w:t>[14] Wilson E.B. Probable Inference, the Law of Succession, and Statistical Inference // Journal of the American Statistical Association. — 1927. — Vol. 22, No. 158. — P. 209–212.</w:t>
      </w:r>
    </w:p>
    <w:p>
      <w:pPr>
        <w:spacing w:after="80"/>
        <w:ind w:left="280" w:hanging="280"/>
      </w:pPr>
      <w:r>
        <w:rPr>
          <w:rFonts w:ascii="Times New Roman" w:hAnsi="Times New Roman" w:eastAsia="Times New Roman"/>
          <w:sz w:val="18"/>
        </w:rPr>
        <w:t>[15] Awsaf. BraTS2020 Dataset (Training + Validation) [Электронный ресурс] // Kaggle. — URL: https://www.kaggle.com/datasets/awsaf49/brats20-dataset-training-validation (дата обращения: 08.10.2026).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