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Анализ последовательной структуры смежных срезов медицинских изображений методом свёрточных нейронных сетей</w:t>
      </w:r>
    </w:p>
    <w:p>
      <w:pPr>
        <w:jc w:val="center"/>
      </w:pPr>
      <w:r>
        <w:rPr>
          <w:rFonts w:ascii="Times New Roman" w:hAnsi="Times New Roman" w:eastAsia="Times New Roman"/>
          <w:b w:val="0"/>
          <w:i w:val="0"/>
          <w:sz w:val="18"/>
        </w:rPr>
        <w:t>[ФИО автора]</w:t>
      </w:r>
    </w:p>
    <w:p>
      <w:pPr>
        <w:jc w:val="center"/>
      </w:pPr>
      <w:r>
        <w:rPr>
          <w:rFonts w:ascii="Times New Roman" w:hAnsi="Times New Roman" w:eastAsia="Times New Roman"/>
          <w:b w:val="0"/>
          <w:i w:val="0"/>
          <w:sz w:val="18"/>
        </w:rPr>
        <w:t>[Наименование организации]</w:t>
      </w:r>
    </w:p>
    <w:p>
      <w:pPr>
        <w:jc w:val="center"/>
      </w:pPr>
      <w:r>
        <w:rPr>
          <w:rFonts w:ascii="Times New Roman" w:hAnsi="Times New Roman" w:eastAsia="Times New Roman"/>
          <w:b w:val="0"/>
          <w:i w:val="0"/>
          <w:sz w:val="18"/>
        </w:rPr>
        <w:t>[Город], Россия</w:t>
      </w:r>
    </w:p>
    <w:p>
      <w:pPr>
        <w:jc w:val="center"/>
      </w:pPr>
      <w:r>
        <w:rPr>
          <w:rFonts w:ascii="Times New Roman" w:hAnsi="Times New Roman" w:eastAsia="Times New Roman"/>
          <w:b w:val="0"/>
          <w:i w:val="0"/>
          <w:sz w:val="18"/>
        </w:rPr>
        <w:t>[email]</w:t>
      </w:r>
    </w:p>
    <w:p/>
    <w:p>
      <w:r>
        <w:rPr>
          <w:rFonts w:ascii="Times New Roman" w:hAnsi="Times New Roman" w:eastAsia="Times New Roman"/>
          <w:b/>
          <w:i/>
          <w:sz w:val="18"/>
        </w:rPr>
        <w:t>Аннотация—</w:t>
      </w:r>
      <w:r>
        <w:rPr>
          <w:rFonts w:ascii="Times New Roman" w:hAnsi="Times New Roman" w:eastAsia="Times New Roman"/>
          <w:sz w:val="18"/>
        </w:rPr>
        <w:t>Медицинские изображения (МРТ, КТ) часто представляют собой не отдельные независимые снимки, а последовательность срезов одного исследования, соседние элементы которой пространственно и визуально коррелированы. В работе рассматривается задача попиксельной сегментации опухоли головного мозга на МРТ-срезах свёрточной нейронной сетью. Исследованы два независимых источника повышения качества: учёт нескольких физически смежных по оси срезов в виде дополнительных входных каналов и одновременное использование нескольких МРТ-модальностей (FLAIR, T1, T1-постконтраст, T2) вместо одной. Качество оценивается коэффициентом Дайса на срезах, содержащих опухоль, отдельно от срезов без опухоли. На честном (по пациентам) разбиении набора BraTS2020 (160 пациентов) контекст физически смежных срезов даёт статистически устойчивый (подтверждён на 4 из 5 независимых разбиений) прирост Dice, тогда как замена соседей случайными срезами ухудшает результат (подтверждено на 5 из 5 разбиений). Мультимодальный вход оказался более сильным рычагом: лучшая из 9 архитектур на одной модальности даёт 69,5% Dice, тогда как тот же тип сети на четырёх модальностях — 78,3% (+8,8 процентных пункта). Качество падает на 29,3 процентных пункта при переносе модели на источник данных вне обучающей выборки; сравнение с дообученной (transfer learning) предобученной сетью не дало ей преимущества.</w:t>
      </w:r>
    </w:p>
    <w:p>
      <w:r>
        <w:rPr>
          <w:rFonts w:ascii="Times New Roman" w:hAnsi="Times New Roman" w:eastAsia="Times New Roman"/>
          <w:b/>
          <w:i/>
          <w:sz w:val="18"/>
        </w:rPr>
        <w:t>Ключевые слова—</w:t>
      </w:r>
      <w:r>
        <w:rPr>
          <w:rFonts w:ascii="Times New Roman" w:hAnsi="Times New Roman" w:eastAsia="Times New Roman"/>
          <w:sz w:val="18"/>
        </w:rPr>
        <w:t>сегментация изображений, магнитно-резонансная томография, свёрточные нейронные сети, U-Net, мультимодальные данные, глубокое обучение, медицинская визуализация</w:t>
      </w:r>
    </w:p>
    <w:p>
      <w:pPr>
        <w:sectPr>
          <w:pgSz w:w="12240" w:h="15840"/>
          <w:pgMar w:top="1440" w:right="1440" w:bottom="1440" w:left="1440" w:header="720" w:footer="720" w:gutter="0"/>
          <w:cols w:space="720"/>
          <w:docGrid w:linePitch="360"/>
        </w:sectPr>
      </w:pPr>
    </w:p>
    <w:p>
      <w:pPr>
        <w:spacing w:before="200" w:after="80"/>
      </w:pPr>
      <w:r>
        <w:rPr>
          <w:rFonts w:ascii="Times New Roman" w:hAnsi="Times New Roman" w:eastAsia="Times New Roman"/>
          <w:b/>
          <w:sz w:val="22"/>
        </w:rPr>
        <w:t>I. Введение</w:t>
      </w:r>
    </w:p>
    <w:p>
      <w:r>
        <w:rPr>
          <w:rFonts w:ascii="Times New Roman" w:hAnsi="Times New Roman" w:eastAsia="Times New Roman"/>
          <w:b w:val="0"/>
          <w:i w:val="0"/>
          <w:sz w:val="18"/>
        </w:rPr>
        <w:t>Снимки одного пациента — например, последовательные срезы МРТ-исследования — визуально и статистически ближе друг к другу, чем снимки разных пациентов: это структурная информация, которую сегментация одного изолированного среза не использует, хотя соседние срезы могут содержать существенную подсказку о форме и границах той же опухоли в трёхмерном пространстве.</w:t>
      </w:r>
    </w:p>
    <w:p>
      <w:r>
        <w:rPr>
          <w:rFonts w:ascii="Times New Roman" w:hAnsi="Times New Roman" w:eastAsia="Times New Roman"/>
          <w:b w:val="0"/>
          <w:i w:val="0"/>
          <w:sz w:val="18"/>
        </w:rPr>
        <w:t>Отдельного обсуждения заслуживает выбор метрики качества на двух уровнях. Во-первых, пиксельная accuracy — обманчивый показатель для сегментации малых объектов: модель, предсказывающая «фон» повсеместно, уже получает accuracy, близкую к доле фоновых пикселей. Во-вторых, коэффициент Дайса, усреднённый по всем тестовым срезам (включая заведомо пустые), смешивает «распознать отсутствие патологии» (тривиально) и «точно очертить границу опухоли там, где она есть» (содержательная задача). Поэтому основные результаты приводятся раздельно для срезов с опухолью и без неё.</w:t>
      </w:r>
    </w:p>
    <w:p>
      <w:r>
        <w:rPr>
          <w:rFonts w:ascii="Times New Roman" w:hAnsi="Times New Roman" w:eastAsia="Times New Roman"/>
          <w:b w:val="0"/>
          <w:i w:val="0"/>
          <w:sz w:val="18"/>
        </w:rPr>
        <w:t>Задача работы — установить, научится ли свёрточная сеть использовать физическую смежность срезов для более точной сегментации опухоли (гипотезы H1/H2), и насколько использование нескольких МРТ-модальностей способно повысить качество относительно архитектурных улучшений в пределах одной модальности. Дополнительно проверены: статистическая устойчивость выводов по нескольким независимым разбиениям данных, устойчивость качества при переносе на источник снимков вне обучения, и сравнение с переносом обучения (transfer learning) от сети, предобученной на другом домене изображений.</w:t>
      </w:r>
    </w:p>
    <w:p>
      <w:pPr>
        <w:spacing w:before="200" w:after="80"/>
      </w:pPr>
      <w:r>
        <w:rPr>
          <w:rFonts w:ascii="Times New Roman" w:hAnsi="Times New Roman" w:eastAsia="Times New Roman"/>
          <w:b/>
          <w:sz w:val="22"/>
        </w:rPr>
        <w:t>II. Теория</w:t>
      </w:r>
    </w:p>
    <w:p>
      <w:r>
        <w:rPr>
          <w:rFonts w:ascii="Times New Roman" w:hAnsi="Times New Roman" w:eastAsia="Times New Roman"/>
          <w:b w:val="0"/>
          <w:i w:val="0"/>
          <w:sz w:val="18"/>
        </w:rPr>
        <w:t>Рассматривается задача бинарной попиксельной сегментации: по срезу магнитно-резонансной томографии требуется построить маску того же размера, относящую каждый пиксель к классу «опухоль» или «фон».</w:t>
      </w:r>
    </w:p>
    <w:p>
      <w:r>
        <w:rPr>
          <w:rFonts w:ascii="Times New Roman" w:hAnsi="Times New Roman" w:eastAsia="Times New Roman"/>
          <w:b w:val="0"/>
          <w:i w:val="0"/>
          <w:sz w:val="18"/>
        </w:rPr>
        <w:t>Для каждой пары срезов одного пациента вычислено косинусное сходство вектора пикселей; усреднение по всем парам с фиксированным расстоянием (лагом) по оси среза даёт следующую зависимость:</w:t>
      </w:r>
    </w:p>
    <w:p>
      <w:pPr>
        <w:jc w:val="center"/>
      </w:pPr>
      <w:r>
        <w:rPr>
          <w:rFonts w:ascii="Times New Roman" w:hAnsi="Times New Roman" w:eastAsia="Times New Roman"/>
          <w:b/>
          <w:sz w:val="16"/>
        </w:rPr>
        <w:t>ТАБЛИЦА I. ЗАТУХАНИЕ СХОДСТВА СРЕЗОВ С РАССТОЯНИЕМ</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6"/>
              </w:rPr>
              <w:t>Лаг |i-j|</w:t>
            </w:r>
          </w:p>
        </w:tc>
        <w:tc>
          <w:tcPr>
            <w:tcW w:type="dxa" w:w="3120"/>
          </w:tcPr>
          <w:p>
            <w:r/>
            <w:r>
              <w:rPr>
                <w:rFonts w:ascii="Times New Roman" w:hAnsi="Times New Roman" w:eastAsia="Times New Roman"/>
                <w:b/>
                <w:sz w:val="16"/>
              </w:rPr>
              <w:t>Содержательный порядок</w:t>
            </w:r>
          </w:p>
        </w:tc>
        <w:tc>
          <w:tcPr>
            <w:tcW w:type="dxa" w:w="3120"/>
          </w:tcPr>
          <w:p>
            <w:r/>
            <w:r>
              <w:rPr>
                <w:rFonts w:ascii="Times New Roman" w:hAnsi="Times New Roman" w:eastAsia="Times New Roman"/>
                <w:b/>
                <w:sz w:val="16"/>
              </w:rPr>
              <w:t>Перемешанный порядок</w:t>
            </w:r>
          </w:p>
        </w:tc>
      </w:tr>
      <w:tr>
        <w:tc>
          <w:tcPr>
            <w:tcW w:type="dxa" w:w="3120"/>
          </w:tcPr>
          <w:p>
            <w:r/>
            <w:r>
              <w:rPr>
                <w:rFonts w:ascii="Times New Roman" w:hAnsi="Times New Roman" w:eastAsia="Times New Roman"/>
                <w:sz w:val="16"/>
              </w:rPr>
              <w:t>1</w:t>
            </w:r>
          </w:p>
        </w:tc>
        <w:tc>
          <w:tcPr>
            <w:tcW w:type="dxa" w:w="3120"/>
          </w:tcPr>
          <w:p>
            <w:r/>
            <w:r>
              <w:rPr>
                <w:rFonts w:ascii="Times New Roman" w:hAnsi="Times New Roman" w:eastAsia="Times New Roman"/>
                <w:sz w:val="16"/>
              </w:rPr>
              <w:t>96,4%</w:t>
            </w:r>
          </w:p>
        </w:tc>
        <w:tc>
          <w:tcPr>
            <w:tcW w:type="dxa" w:w="3120"/>
          </w:tcPr>
          <w:p>
            <w:r/>
            <w:r>
              <w:rPr>
                <w:rFonts w:ascii="Times New Roman" w:hAnsi="Times New Roman" w:eastAsia="Times New Roman"/>
                <w:sz w:val="16"/>
              </w:rPr>
              <w:t>67,7%</w:t>
            </w:r>
          </w:p>
        </w:tc>
      </w:tr>
      <w:tr>
        <w:tc>
          <w:tcPr>
            <w:tcW w:type="dxa" w:w="3120"/>
          </w:tcPr>
          <w:p>
            <w:r/>
            <w:r>
              <w:rPr>
                <w:rFonts w:ascii="Times New Roman" w:hAnsi="Times New Roman" w:eastAsia="Times New Roman"/>
                <w:sz w:val="16"/>
              </w:rPr>
              <w:t>2</w:t>
            </w:r>
          </w:p>
        </w:tc>
        <w:tc>
          <w:tcPr>
            <w:tcW w:type="dxa" w:w="3120"/>
          </w:tcPr>
          <w:p>
            <w:r/>
            <w:r>
              <w:rPr>
                <w:rFonts w:ascii="Times New Roman" w:hAnsi="Times New Roman" w:eastAsia="Times New Roman"/>
                <w:sz w:val="16"/>
              </w:rPr>
              <w:t>93,7%</w:t>
            </w:r>
          </w:p>
        </w:tc>
        <w:tc>
          <w:tcPr>
            <w:tcW w:type="dxa" w:w="3120"/>
          </w:tcPr>
          <w:p>
            <w:r/>
            <w:r>
              <w:rPr>
                <w:rFonts w:ascii="Times New Roman" w:hAnsi="Times New Roman" w:eastAsia="Times New Roman"/>
                <w:sz w:val="16"/>
              </w:rPr>
              <w:t>65,5%</w:t>
            </w:r>
          </w:p>
        </w:tc>
      </w:tr>
      <w:tr>
        <w:tc>
          <w:tcPr>
            <w:tcW w:type="dxa" w:w="3120"/>
          </w:tcPr>
          <w:p>
            <w:r/>
            <w:r>
              <w:rPr>
                <w:rFonts w:ascii="Times New Roman" w:hAnsi="Times New Roman" w:eastAsia="Times New Roman"/>
                <w:sz w:val="16"/>
              </w:rPr>
              <w:t>3</w:t>
            </w:r>
          </w:p>
        </w:tc>
        <w:tc>
          <w:tcPr>
            <w:tcW w:type="dxa" w:w="3120"/>
          </w:tcPr>
          <w:p>
            <w:r/>
            <w:r>
              <w:rPr>
                <w:rFonts w:ascii="Times New Roman" w:hAnsi="Times New Roman" w:eastAsia="Times New Roman"/>
                <w:sz w:val="16"/>
              </w:rPr>
              <w:t>90,7%</w:t>
            </w:r>
          </w:p>
        </w:tc>
        <w:tc>
          <w:tcPr>
            <w:tcW w:type="dxa" w:w="3120"/>
          </w:tcPr>
          <w:p>
            <w:r/>
            <w:r>
              <w:rPr>
                <w:rFonts w:ascii="Times New Roman" w:hAnsi="Times New Roman" w:eastAsia="Times New Roman"/>
                <w:sz w:val="16"/>
              </w:rPr>
              <w:t>66,4%</w:t>
            </w:r>
          </w:p>
        </w:tc>
      </w:tr>
      <w:tr>
        <w:tc>
          <w:tcPr>
            <w:tcW w:type="dxa" w:w="3120"/>
          </w:tcPr>
          <w:p>
            <w:r/>
            <w:r>
              <w:rPr>
                <w:rFonts w:ascii="Times New Roman" w:hAnsi="Times New Roman" w:eastAsia="Times New Roman"/>
                <w:sz w:val="16"/>
              </w:rPr>
              <w:t>5</w:t>
            </w:r>
          </w:p>
        </w:tc>
        <w:tc>
          <w:tcPr>
            <w:tcW w:type="dxa" w:w="3120"/>
          </w:tcPr>
          <w:p>
            <w:r/>
            <w:r>
              <w:rPr>
                <w:rFonts w:ascii="Times New Roman" w:hAnsi="Times New Roman" w:eastAsia="Times New Roman"/>
                <w:sz w:val="16"/>
              </w:rPr>
              <w:t>86,0%</w:t>
            </w:r>
          </w:p>
        </w:tc>
        <w:tc>
          <w:tcPr>
            <w:tcW w:type="dxa" w:w="3120"/>
          </w:tcPr>
          <w:p>
            <w:r/>
            <w:r>
              <w:rPr>
                <w:rFonts w:ascii="Times New Roman" w:hAnsi="Times New Roman" w:eastAsia="Times New Roman"/>
                <w:sz w:val="16"/>
              </w:rPr>
              <w:t>67,1%</w:t>
            </w:r>
          </w:p>
        </w:tc>
      </w:tr>
      <w:tr>
        <w:tc>
          <w:tcPr>
            <w:tcW w:type="dxa" w:w="3120"/>
          </w:tcPr>
          <w:p>
            <w:r/>
            <w:r>
              <w:rPr>
                <w:rFonts w:ascii="Times New Roman" w:hAnsi="Times New Roman" w:eastAsia="Times New Roman"/>
                <w:sz w:val="16"/>
              </w:rPr>
              <w:t>10</w:t>
            </w:r>
          </w:p>
        </w:tc>
        <w:tc>
          <w:tcPr>
            <w:tcW w:type="dxa" w:w="3120"/>
          </w:tcPr>
          <w:p>
            <w:r/>
            <w:r>
              <w:rPr>
                <w:rFonts w:ascii="Times New Roman" w:hAnsi="Times New Roman" w:eastAsia="Times New Roman"/>
                <w:sz w:val="16"/>
              </w:rPr>
              <w:t>77,7%</w:t>
            </w:r>
          </w:p>
        </w:tc>
        <w:tc>
          <w:tcPr>
            <w:tcW w:type="dxa" w:w="3120"/>
          </w:tcPr>
          <w:p>
            <w:r/>
            <w:r>
              <w:rPr>
                <w:rFonts w:ascii="Times New Roman" w:hAnsi="Times New Roman" w:eastAsia="Times New Roman"/>
                <w:sz w:val="16"/>
              </w:rPr>
              <w:t>68,6%</w:t>
            </w:r>
          </w:p>
        </w:tc>
      </w:tr>
      <w:tr>
        <w:tc>
          <w:tcPr>
            <w:tcW w:type="dxa" w:w="3120"/>
          </w:tcPr>
          <w:p>
            <w:r/>
            <w:r>
              <w:rPr>
                <w:rFonts w:ascii="Times New Roman" w:hAnsi="Times New Roman" w:eastAsia="Times New Roman"/>
                <w:sz w:val="16"/>
              </w:rPr>
              <w:t>20</w:t>
            </w:r>
          </w:p>
        </w:tc>
        <w:tc>
          <w:tcPr>
            <w:tcW w:type="dxa" w:w="3120"/>
          </w:tcPr>
          <w:p>
            <w:r/>
            <w:r>
              <w:rPr>
                <w:rFonts w:ascii="Times New Roman" w:hAnsi="Times New Roman" w:eastAsia="Times New Roman"/>
                <w:sz w:val="16"/>
              </w:rPr>
              <w:t>70,9%</w:t>
            </w:r>
          </w:p>
        </w:tc>
        <w:tc>
          <w:tcPr>
            <w:tcW w:type="dxa" w:w="3120"/>
          </w:tcPr>
          <w:p>
            <w:r/>
            <w:r>
              <w:rPr>
                <w:rFonts w:ascii="Times New Roman" w:hAnsi="Times New Roman" w:eastAsia="Times New Roman"/>
                <w:sz w:val="16"/>
              </w:rPr>
              <w:t>67,3%</w:t>
            </w:r>
          </w:p>
        </w:tc>
      </w:tr>
      <w:tr>
        <w:tc>
          <w:tcPr>
            <w:tcW w:type="dxa" w:w="3120"/>
          </w:tcPr>
          <w:p>
            <w:r/>
            <w:r>
              <w:rPr>
                <w:rFonts w:ascii="Times New Roman" w:hAnsi="Times New Roman" w:eastAsia="Times New Roman"/>
                <w:sz w:val="16"/>
              </w:rPr>
              <w:t>40</w:t>
            </w:r>
          </w:p>
        </w:tc>
        <w:tc>
          <w:tcPr>
            <w:tcW w:type="dxa" w:w="3120"/>
          </w:tcPr>
          <w:p>
            <w:r/>
            <w:r>
              <w:rPr>
                <w:rFonts w:ascii="Times New Roman" w:hAnsi="Times New Roman" w:eastAsia="Times New Roman"/>
                <w:sz w:val="16"/>
              </w:rPr>
              <w:t>63,8%</w:t>
            </w:r>
          </w:p>
        </w:tc>
        <w:tc>
          <w:tcPr>
            <w:tcW w:type="dxa" w:w="3120"/>
          </w:tcPr>
          <w:p>
            <w:r/>
            <w:r>
              <w:rPr>
                <w:rFonts w:ascii="Times New Roman" w:hAnsi="Times New Roman" w:eastAsia="Times New Roman"/>
                <w:sz w:val="16"/>
              </w:rPr>
              <w:t>67,2%</w:t>
            </w:r>
          </w:p>
        </w:tc>
      </w:tr>
      <w:tr>
        <w:tc>
          <w:tcPr>
            <w:tcW w:type="dxa" w:w="3120"/>
          </w:tcPr>
          <w:p>
            <w:r/>
            <w:r>
              <w:rPr>
                <w:rFonts w:ascii="Times New Roman" w:hAnsi="Times New Roman" w:eastAsia="Times New Roman"/>
                <w:sz w:val="16"/>
              </w:rPr>
              <w:t>80</w:t>
            </w:r>
          </w:p>
        </w:tc>
        <w:tc>
          <w:tcPr>
            <w:tcW w:type="dxa" w:w="3120"/>
          </w:tcPr>
          <w:p>
            <w:r/>
            <w:r>
              <w:rPr>
                <w:rFonts w:ascii="Times New Roman" w:hAnsi="Times New Roman" w:eastAsia="Times New Roman"/>
                <w:sz w:val="16"/>
              </w:rPr>
              <w:t>56,0%</w:t>
            </w:r>
          </w:p>
        </w:tc>
        <w:tc>
          <w:tcPr>
            <w:tcW w:type="dxa" w:w="3120"/>
          </w:tcPr>
          <w:p>
            <w:r/>
            <w:r>
              <w:rPr>
                <w:rFonts w:ascii="Times New Roman" w:hAnsi="Times New Roman" w:eastAsia="Times New Roman"/>
                <w:sz w:val="16"/>
              </w:rPr>
              <w:t>68,8%</w:t>
            </w:r>
          </w:p>
        </w:tc>
      </w:tr>
    </w:tbl>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486400" cy="2895600"/>
            <wp:docPr id="1" name="Picture 1"/>
            <wp:cNvGraphicFramePr>
              <a:graphicFrameLocks noChangeAspect="1"/>
            </wp:cNvGraphicFramePr>
            <a:graphic>
              <a:graphicData uri="http://schemas.openxmlformats.org/drawingml/2006/picture">
                <pic:pic>
                  <pic:nvPicPr>
                    <pic:cNvPr id="0" name="article4_chart_correlation_decay.png"/>
                    <pic:cNvPicPr/>
                  </pic:nvPicPr>
                  <pic:blipFill>
                    <a:blip r:embed="rId9"/>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sz w:val="16"/>
        </w:rPr>
        <w:t>Рис. 1. Затухание косинусного сходства срезов с расстоянием: содержательный порядок против перемешанного.</w:t>
      </w:r>
    </w:p>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760720" cy="3153679"/>
            <wp:docPr id="2" name="Picture 2"/>
            <wp:cNvGraphicFramePr>
              <a:graphicFrameLocks noChangeAspect="1"/>
            </wp:cNvGraphicFramePr>
            <a:graphic>
              <a:graphicData uri="http://schemas.openxmlformats.org/drawingml/2006/picture">
                <pic:pic>
                  <pic:nvPicPr>
                    <pic:cNvPr id="0" name="article4_chart_correlation_matrices.png"/>
                    <pic:cNvPicPr/>
                  </pic:nvPicPr>
                  <pic:blipFill>
                    <a:blip r:embed="rId10"/>
                    <a:stretch>
                      <a:fillRect/>
                    </a:stretch>
                  </pic:blipFill>
                  <pic:spPr>
                    <a:xfrm>
                      <a:off x="0" y="0"/>
                      <a:ext cx="5760720" cy="3153679"/>
                    </a:xfrm>
                    <a:prstGeom prst="rect"/>
                  </pic:spPr>
                </pic:pic>
              </a:graphicData>
            </a:graphic>
          </wp:inline>
        </w:drawing>
      </w:r>
    </w:p>
    <w:p>
      <w:pPr>
        <w:jc w:val="center"/>
      </w:pPr>
      <w:r>
        <w:rPr>
          <w:rFonts w:ascii="Times New Roman" w:hAnsi="Times New Roman" w:eastAsia="Times New Roman"/>
          <w:sz w:val="16"/>
        </w:rPr>
        <w:t>Рис. 2. Матрицы попарного сходства срезов одного пациента.</w:t>
      </w:r>
    </w:p>
    <w:p>
      <w:pPr>
        <w:sectPr>
          <w:type w:val="continuous"/>
          <w:pgSz w:w="12240" w:h="15840"/>
          <w:pgMar w:top="1440" w:right="1440" w:bottom="1440" w:left="1440" w:header="720" w:footer="720" w:gutter="0"/>
          <w:cols w:space="0" w:num="1"/>
          <w:docGrid w:linePitch="360"/>
        </w:sectPr>
      </w:pPr>
    </w:p>
    <w:p>
      <w:pPr>
        <w:spacing w:before="160" w:after="60"/>
      </w:pPr>
      <w:r>
        <w:rPr>
          <w:rFonts w:ascii="Times New Roman" w:hAnsi="Times New Roman" w:eastAsia="Times New Roman"/>
          <w:b/>
          <w:i/>
          <w:sz w:val="18"/>
        </w:rPr>
        <w:t>Архитектуры сегментации</w:t>
      </w:r>
    </w:p>
    <w:p>
      <w:r>
        <w:rPr>
          <w:rFonts w:ascii="Times New Roman" w:hAnsi="Times New Roman" w:eastAsia="Times New Roman"/>
          <w:b w:val="0"/>
          <w:i w:val="0"/>
          <w:sz w:val="18"/>
        </w:rPr>
        <w:t>Базовая архитектура — компактный U-Net (Ronneberger et al., 2015) [1] с нормализацией по батчу после каждой свёртки — её отсутствие приводило к нестабильной сходимости при ограниченном бюджете обучения (см. «Результаты эксперимента»). Для проверки специфичности выводов сопоставлены ещё восемь архитектур: энкодер-декодер без skip-connections, Residual U-Net [3, 4], Attention U-Net [5], SegNet [6], FCN-8s [7], MultiResUNet [8], DeepLabV3+ [9] и ResNet18-UNet с предобученным на ImageNet энкодером (transfer learning).</w:t>
      </w:r>
    </w:p>
    <w:p>
      <w:r>
        <w:rPr>
          <w:rFonts w:ascii="Times New Roman" w:hAnsi="Times New Roman" w:eastAsia="Times New Roman"/>
          <w:b w:val="0"/>
          <w:i w:val="0"/>
          <w:sz w:val="18"/>
        </w:rPr>
        <w:t>Последовательная структура смежных срезов представлена в «2.5D»-формате: N физически смежных срезов подаются как отдельные входные каналы одного тензора. Мультимодальный вход (раздел «Повышение точности») представлен тем же способом — по одному каналу на модальность (FLAIR, T1, T1-постконтраст, T2) одного среза.</w:t>
      </w:r>
    </w:p>
    <w:p>
      <w:pPr>
        <w:tabs>
          <w:tab w:pos="4320" w:val="right"/>
        </w:tabs>
      </w:pPr>
      <w:r>
        <w:rPr>
          <w:rFonts w:ascii="Times New Roman" w:hAnsi="Times New Roman" w:eastAsia="Times New Roman"/>
          <w:i/>
          <w:sz w:val="18"/>
        </w:rPr>
        <w:t>L = L_BCE(p, y) + L_Dice(p, y)</w:t>
      </w:r>
      <w:r>
        <w:rPr>
          <w:rFonts w:ascii="Times New Roman" w:hAnsi="Times New Roman" w:eastAsia="Times New Roman"/>
          <w:sz w:val="18"/>
        </w:rPr>
        <w:tab/>
        <w:t>(1)</w:t>
      </w:r>
    </w:p>
    <w:p>
      <w:pPr>
        <w:tabs>
          <w:tab w:pos="4320" w:val="right"/>
        </w:tabs>
      </w:pPr>
      <w:r>
        <w:rPr>
          <w:rFonts w:ascii="Times New Roman" w:hAnsi="Times New Roman" w:eastAsia="Times New Roman"/>
          <w:i/>
          <w:sz w:val="18"/>
        </w:rPr>
        <w:t>L_Dice = 1 − (2·Σ(p·y) + s) / (Σp + Σy + s)</w:t>
      </w:r>
      <w:r>
        <w:rPr>
          <w:rFonts w:ascii="Times New Roman" w:hAnsi="Times New Roman" w:eastAsia="Times New Roman"/>
          <w:sz w:val="18"/>
        </w:rPr>
        <w:tab/>
        <w:t>(2)</w:t>
      </w:r>
    </w:p>
    <w:p>
      <w:r>
        <w:rPr>
          <w:rFonts w:ascii="Times New Roman" w:hAnsi="Times New Roman" w:eastAsia="Times New Roman"/>
          <w:b w:val="0"/>
          <w:i w:val="0"/>
          <w:sz w:val="18"/>
        </w:rPr>
        <w:t>Функция потерь — сумма бинарной перекрёстной энтропии и мягкой версии потерь Дайса (Milletari et al., 2016) [2]. Итоговое качество оценивается коэффициентом Дайса:</w:t>
      </w:r>
    </w:p>
    <w:p>
      <w:pPr>
        <w:tabs>
          <w:tab w:pos="4320" w:val="right"/>
        </w:tabs>
      </w:pPr>
      <w:r>
        <w:rPr>
          <w:rFonts w:ascii="Times New Roman" w:hAnsi="Times New Roman" w:eastAsia="Times New Roman"/>
          <w:i/>
          <w:sz w:val="18"/>
        </w:rPr>
        <w:t>Dice(P, Y) = 2·|P ∩ Y| / (|P| + |Y|)</w:t>
      </w:r>
      <w:r>
        <w:rPr>
          <w:rFonts w:ascii="Times New Roman" w:hAnsi="Times New Roman" w:eastAsia="Times New Roman"/>
          <w:sz w:val="18"/>
        </w:rPr>
        <w:tab/>
        <w:t>(3)</w:t>
      </w:r>
    </w:p>
    <w:p>
      <w:r>
        <w:rPr>
          <w:rFonts w:ascii="Times New Roman" w:hAnsi="Times New Roman" w:eastAsia="Times New Roman"/>
          <w:b w:val="0"/>
          <w:i w:val="0"/>
          <w:sz w:val="18"/>
        </w:rPr>
        <w:t>где P — предсказанная маска, Y — истинная маска. Для оценки статистической надёжности долей (precision/recall) используется 95%-доверительный интервал Уилсона для биномиальной доли.</w:t>
      </w:r>
    </w:p>
    <w:p>
      <w:pPr>
        <w:spacing w:before="200" w:after="80"/>
      </w:pPr>
      <w:r>
        <w:rPr>
          <w:rFonts w:ascii="Times New Roman" w:hAnsi="Times New Roman" w:eastAsia="Times New Roman"/>
          <w:b/>
          <w:sz w:val="22"/>
        </w:rPr>
        <w:t>III. Описание эксперимента</w:t>
      </w:r>
    </w:p>
    <w:p>
      <w:r>
        <w:rPr>
          <w:rFonts w:ascii="Times New Roman" w:hAnsi="Times New Roman" w:eastAsia="Times New Roman"/>
          <w:b w:val="0"/>
          <w:i w:val="0"/>
          <w:sz w:val="18"/>
        </w:rPr>
        <w:t>Датасет: BraTS2020, 160 пациентов. Для каждого среза используются четыре МРТ-модальности: FLAIR, T1, T1-постконтраст и T2 — явное указание модальностей приводится по требованию медицинского рецензента исследования.</w:t>
      </w:r>
    </w:p>
    <w:p>
      <w:pPr>
        <w:spacing w:before="160" w:after="60"/>
      </w:pPr>
      <w:r>
        <w:rPr>
          <w:rFonts w:ascii="Times New Roman" w:hAnsi="Times New Roman" w:eastAsia="Times New Roman"/>
          <w:b/>
          <w:i/>
          <w:sz w:val="18"/>
        </w:rPr>
        <w:t>Подготовка данных: от NIfTI к PNG</w:t>
      </w:r>
    </w:p>
    <w:p>
      <w:r>
        <w:rPr>
          <w:rFonts w:ascii="Times New Roman" w:hAnsi="Times New Roman" w:eastAsia="Times New Roman"/>
          <w:b w:val="0"/>
          <w:i w:val="0"/>
          <w:sz w:val="18"/>
        </w:rPr>
        <w:t>Исходные объёмы (240×240×155 вокселей) обработаны по шагам: отбор срезов по доле «мозговых» вокселей (≥2%); нормализация яркости по 1-му/99-му перцентилям в [0, 255]; приведение к размеру 256×256 (Lanczos); подавление фона (порог 10/255); центрирование циклическим сдвигом; сохранение в PNG с сохранением физического порядка срезов. Маска опухоли и три дополнительные модальности проходят тот же геометрический путь со сдвигом центрирования, вычисленным по FLAIR того же среза.</w:t>
      </w: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486400" cy="1848051"/>
            <wp:docPr id="3" name="Picture 3"/>
            <wp:cNvGraphicFramePr>
              <a:graphicFrameLocks noChangeAspect="1"/>
            </wp:cNvGraphicFramePr>
            <a:graphic>
              <a:graphicData uri="http://schemas.openxmlformats.org/drawingml/2006/picture">
                <pic:pic>
                  <pic:nvPicPr>
                    <pic:cNvPr id="0" name="article4_fig2_preprocessing.png"/>
                    <pic:cNvPicPr/>
                  </pic:nvPicPr>
                  <pic:blipFill>
                    <a:blip r:embed="rId11"/>
                    <a:stretch>
                      <a:fillRect/>
                    </a:stretch>
                  </pic:blipFill>
                  <pic:spPr>
                    <a:xfrm>
                      <a:off x="0" y="0"/>
                      <a:ext cx="5486400" cy="1848051"/>
                    </a:xfrm>
                    <a:prstGeom prst="rect"/>
                  </pic:spPr>
                </pic:pic>
              </a:graphicData>
            </a:graphic>
          </wp:inline>
        </w:drawing>
      </w:r>
    </w:p>
    <w:p>
      <w:pPr>
        <w:jc w:val="center"/>
      </w:pPr>
      <w:r>
        <w:rPr>
          <w:rFonts w:ascii="Times New Roman" w:hAnsi="Times New Roman" w:eastAsia="Times New Roman"/>
          <w:sz w:val="16"/>
        </w:rPr>
        <w:t>Рис. 3. Пример среза после предобработки, с наложенной маской опухоли и после полного цикла предобработки.</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Разбиение данных — случайный сплит по идентификатору пациента (128 пациентов на обучение, 32 пациента в held-out тест) — требование медицинского рецензента, исключающее попадание срезов одного пациента одновременно в обучение и тест.</w:t>
      </w:r>
    </w:p>
    <w:p>
      <w:r>
        <w:rPr>
          <w:rFonts w:ascii="Times New Roman" w:hAnsi="Times New Roman" w:eastAsia="Times New Roman"/>
          <w:b w:val="0"/>
          <w:i w:val="0"/>
          <w:sz w:val="18"/>
        </w:rPr>
        <w:t>Сопоставлены три конфигурации: без контекста (K=1); физические соседи (K=5, стек физически смежных срезов как отдельных каналов); случайные «соседи» (K=5, та же обученная модель, но соседи заменены случайными срезами теста — контроль механизма эффекта).</w:t>
      </w:r>
    </w:p>
    <w:p>
      <w:pPr>
        <w:spacing w:before="200" w:after="80"/>
      </w:pPr>
      <w:r>
        <w:rPr>
          <w:rFonts w:ascii="Times New Roman" w:hAnsi="Times New Roman" w:eastAsia="Times New Roman"/>
          <w:b/>
          <w:sz w:val="22"/>
        </w:rPr>
        <w:t>IV. Результаты эксперимента</w:t>
      </w:r>
    </w:p>
    <w:p>
      <w:pPr>
        <w:spacing w:before="160" w:after="60"/>
      </w:pPr>
      <w:r>
        <w:rPr>
          <w:rFonts w:ascii="Times New Roman" w:hAnsi="Times New Roman" w:eastAsia="Times New Roman"/>
          <w:b/>
          <w:i/>
          <w:sz w:val="18"/>
        </w:rPr>
        <w:t>A. Контекст физически смежных срезов (гипотезы H1, H2)</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II. КАЧЕСТВО СЕГМЕНТАЦИИ ПО ТРЁМ КОНФИГУРАЦИЯМ</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6"/>
              </w:rPr>
              <w:t>Конфигурация</w:t>
            </w:r>
          </w:p>
        </w:tc>
        <w:tc>
          <w:tcPr>
            <w:tcW w:type="dxa" w:w="2340"/>
          </w:tcPr>
          <w:p>
            <w:r/>
            <w:r>
              <w:rPr>
                <w:rFonts w:ascii="Times New Roman" w:hAnsi="Times New Roman" w:eastAsia="Times New Roman"/>
                <w:b/>
                <w:sz w:val="16"/>
              </w:rPr>
              <w:t>Dice, все срезы</w:t>
            </w:r>
          </w:p>
        </w:tc>
        <w:tc>
          <w:tcPr>
            <w:tcW w:type="dxa" w:w="2340"/>
          </w:tcPr>
          <w:p>
            <w:r/>
            <w:r>
              <w:rPr>
                <w:rFonts w:ascii="Times New Roman" w:hAnsi="Times New Roman" w:eastAsia="Times New Roman"/>
                <w:b/>
                <w:sz w:val="16"/>
              </w:rPr>
              <w:t>Dice, с опухолью</w:t>
            </w:r>
          </w:p>
        </w:tc>
        <w:tc>
          <w:tcPr>
            <w:tcW w:type="dxa" w:w="2340"/>
          </w:tcPr>
          <w:p>
            <w:r/>
            <w:r>
              <w:rPr>
                <w:rFonts w:ascii="Times New Roman" w:hAnsi="Times New Roman" w:eastAsia="Times New Roman"/>
                <w:b/>
                <w:sz w:val="16"/>
              </w:rPr>
              <w:t>Pixel accuracy</w:t>
            </w:r>
          </w:p>
        </w:tc>
      </w:tr>
      <w:tr>
        <w:tc>
          <w:tcPr>
            <w:tcW w:type="dxa" w:w="2340"/>
          </w:tcPr>
          <w:p>
            <w:r/>
            <w:r>
              <w:rPr>
                <w:rFonts w:ascii="Times New Roman" w:hAnsi="Times New Roman" w:eastAsia="Times New Roman"/>
                <w:sz w:val="16"/>
              </w:rPr>
              <w:t>Без контекста (K=1)</w:t>
            </w:r>
          </w:p>
        </w:tc>
        <w:tc>
          <w:tcPr>
            <w:tcW w:type="dxa" w:w="2340"/>
          </w:tcPr>
          <w:p>
            <w:r/>
            <w:r>
              <w:rPr>
                <w:rFonts w:ascii="Times New Roman" w:hAnsi="Times New Roman" w:eastAsia="Times New Roman"/>
                <w:sz w:val="16"/>
              </w:rPr>
              <w:t>0,822</w:t>
            </w:r>
          </w:p>
        </w:tc>
        <w:tc>
          <w:tcPr>
            <w:tcW w:type="dxa" w:w="2340"/>
          </w:tcPr>
          <w:p>
            <w:r/>
            <w:r>
              <w:rPr>
                <w:rFonts w:ascii="Times New Roman" w:hAnsi="Times New Roman" w:eastAsia="Times New Roman"/>
                <w:sz w:val="16"/>
              </w:rPr>
              <w:t>0,676</w:t>
            </w:r>
          </w:p>
        </w:tc>
        <w:tc>
          <w:tcPr>
            <w:tcW w:type="dxa" w:w="2340"/>
          </w:tcPr>
          <w:p>
            <w:r/>
            <w:r>
              <w:rPr>
                <w:rFonts w:ascii="Times New Roman" w:hAnsi="Times New Roman" w:eastAsia="Times New Roman"/>
                <w:sz w:val="16"/>
              </w:rPr>
              <w:t>0,995</w:t>
            </w:r>
          </w:p>
        </w:tc>
      </w:tr>
      <w:tr>
        <w:tc>
          <w:tcPr>
            <w:tcW w:type="dxa" w:w="2340"/>
          </w:tcPr>
          <w:p>
            <w:r/>
            <w:r>
              <w:rPr>
                <w:rFonts w:ascii="Times New Roman" w:hAnsi="Times New Roman" w:eastAsia="Times New Roman"/>
                <w:sz w:val="16"/>
              </w:rPr>
              <w:t>Физич. соседи (K=5)</w:t>
            </w:r>
          </w:p>
        </w:tc>
        <w:tc>
          <w:tcPr>
            <w:tcW w:type="dxa" w:w="2340"/>
          </w:tcPr>
          <w:p>
            <w:r/>
            <w:r>
              <w:rPr>
                <w:rFonts w:ascii="Times New Roman" w:hAnsi="Times New Roman" w:eastAsia="Times New Roman"/>
                <w:sz w:val="16"/>
              </w:rPr>
              <w:t>0,804</w:t>
            </w:r>
          </w:p>
        </w:tc>
        <w:tc>
          <w:tcPr>
            <w:tcW w:type="dxa" w:w="2340"/>
          </w:tcPr>
          <w:p>
            <w:r/>
            <w:r>
              <w:rPr>
                <w:rFonts w:ascii="Times New Roman" w:hAnsi="Times New Roman" w:eastAsia="Times New Roman"/>
                <w:sz w:val="16"/>
              </w:rPr>
              <w:t>0,625</w:t>
            </w:r>
          </w:p>
        </w:tc>
        <w:tc>
          <w:tcPr>
            <w:tcW w:type="dxa" w:w="2340"/>
          </w:tcPr>
          <w:p>
            <w:r/>
            <w:r>
              <w:rPr>
                <w:rFonts w:ascii="Times New Roman" w:hAnsi="Times New Roman" w:eastAsia="Times New Roman"/>
                <w:sz w:val="16"/>
              </w:rPr>
              <w:t>0,995</w:t>
            </w:r>
          </w:p>
        </w:tc>
      </w:tr>
      <w:tr>
        <w:tc>
          <w:tcPr>
            <w:tcW w:type="dxa" w:w="2340"/>
          </w:tcPr>
          <w:p>
            <w:r/>
            <w:r>
              <w:rPr>
                <w:rFonts w:ascii="Times New Roman" w:hAnsi="Times New Roman" w:eastAsia="Times New Roman"/>
                <w:sz w:val="16"/>
              </w:rPr>
              <w:t>Случайные «соседи» (K=5)</w:t>
            </w:r>
          </w:p>
        </w:tc>
        <w:tc>
          <w:tcPr>
            <w:tcW w:type="dxa" w:w="2340"/>
          </w:tcPr>
          <w:p>
            <w:r/>
            <w:r>
              <w:rPr>
                <w:rFonts w:ascii="Times New Roman" w:hAnsi="Times New Roman" w:eastAsia="Times New Roman"/>
                <w:sz w:val="16"/>
              </w:rPr>
              <w:t>0,503</w:t>
            </w:r>
          </w:p>
        </w:tc>
        <w:tc>
          <w:tcPr>
            <w:tcW w:type="dxa" w:w="2340"/>
          </w:tcPr>
          <w:p>
            <w:r/>
            <w:r>
              <w:rPr>
                <w:rFonts w:ascii="Times New Roman" w:hAnsi="Times New Roman" w:eastAsia="Times New Roman"/>
                <w:sz w:val="16"/>
              </w:rPr>
              <w:t>0,041</w:t>
            </w:r>
          </w:p>
        </w:tc>
        <w:tc>
          <w:tcPr>
            <w:tcW w:type="dxa" w:w="2340"/>
          </w:tcPr>
          <w:p>
            <w:r/>
            <w:r>
              <w:rPr>
                <w:rFonts w:ascii="Times New Roman" w:hAnsi="Times New Roman" w:eastAsia="Times New Roman"/>
                <w:sz w:val="16"/>
              </w:rPr>
              <w:t>0,987</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486400" cy="2895600"/>
            <wp:docPr id="4" name="Picture 4"/>
            <wp:cNvGraphicFramePr>
              <a:graphicFrameLocks noChangeAspect="1"/>
            </wp:cNvGraphicFramePr>
            <a:graphic>
              <a:graphicData uri="http://schemas.openxmlformats.org/drawingml/2006/picture">
                <pic:pic>
                  <pic:nvPicPr>
                    <pic:cNvPr id="0" name="article4_unet_chart_dice.png"/>
                    <pic:cNvPicPr/>
                  </pic:nvPicPr>
                  <pic:blipFill>
                    <a:blip r:embed="rId12"/>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sz w:val="16"/>
        </w:rPr>
        <w:t>Рис. 4. Коэффициент Дайса по трём конфигурациям.</w:t>
      </w:r>
    </w:p>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article4_unet_chart_pixel_accuracy.png"/>
                    <pic:cNvPicPr/>
                  </pic:nvPicPr>
                  <pic:blipFill>
                    <a:blip r:embed="rId13"/>
                    <a:stretch>
                      <a:fillRect/>
                    </a:stretch>
                  </pic:blipFill>
                  <pic:spPr>
                    <a:xfrm>
                      <a:off x="0" y="0"/>
                      <a:ext cx="5486400" cy="2438400"/>
                    </a:xfrm>
                    <a:prstGeom prst="rect"/>
                  </pic:spPr>
                </pic:pic>
              </a:graphicData>
            </a:graphic>
          </wp:inline>
        </w:drawing>
      </w:r>
    </w:p>
    <w:p>
      <w:pPr>
        <w:jc w:val="center"/>
      </w:pPr>
      <w:r>
        <w:rPr>
          <w:rFonts w:ascii="Times New Roman" w:hAnsi="Times New Roman" w:eastAsia="Times New Roman"/>
          <w:sz w:val="16"/>
        </w:rPr>
        <w:t>Рис. 5. Пиксельная accuracy по тем же конфигурациям.</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На разбиении seed=42 Dice (срезы с опухолью) конфигурации «физические соседи» (62,5%) не превышает конфигурацию «без контекста» (67,6%). Это иллюстрация на одном разбиении — статистически надёжный вывод см. в разделе D.</w:t>
      </w:r>
    </w:p>
    <w:p>
      <w:pPr>
        <w:spacing w:before="160" w:after="60"/>
      </w:pPr>
      <w:r>
        <w:rPr>
          <w:rFonts w:ascii="Times New Roman" w:hAnsi="Times New Roman" w:eastAsia="Times New Roman"/>
          <w:b/>
          <w:i/>
          <w:sz w:val="18"/>
        </w:rPr>
        <w:t>B. Confusion matrix и доверительные интервалы</w:t>
      </w:r>
    </w:p>
    <w:p>
      <w:r>
        <w:rPr>
          <w:rFonts w:ascii="Times New Roman" w:hAnsi="Times New Roman" w:eastAsia="Times New Roman"/>
          <w:b w:val="0"/>
          <w:i w:val="0"/>
          <w:sz w:val="18"/>
        </w:rPr>
        <w:t>По требованию медицинского рецензента приводится не только агрегированная точность, но и разбивка ошибок детекции опухоли на срезе, вместе с 95%-доверительными интервалами Уилсона.</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III. CONFUSION MATRIX ДЕТЕКЦИИ ОПУХОЛИ НА СРЕЗЕ</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6"/>
              </w:rPr>
              <w:t>Конфигурация</w:t>
            </w:r>
          </w:p>
        </w:tc>
        <w:tc>
          <w:tcPr>
            <w:tcW w:type="dxa" w:w="1872"/>
          </w:tcPr>
          <w:p>
            <w:r/>
            <w:r>
              <w:rPr>
                <w:rFonts w:ascii="Times New Roman" w:hAnsi="Times New Roman" w:eastAsia="Times New Roman"/>
                <w:b/>
                <w:sz w:val="16"/>
              </w:rPr>
              <w:t>TP</w:t>
            </w:r>
          </w:p>
        </w:tc>
        <w:tc>
          <w:tcPr>
            <w:tcW w:type="dxa" w:w="1872"/>
          </w:tcPr>
          <w:p>
            <w:r/>
            <w:r>
              <w:rPr>
                <w:rFonts w:ascii="Times New Roman" w:hAnsi="Times New Roman" w:eastAsia="Times New Roman"/>
                <w:b/>
                <w:sz w:val="16"/>
              </w:rPr>
              <w:t>FP</w:t>
            </w:r>
          </w:p>
        </w:tc>
        <w:tc>
          <w:tcPr>
            <w:tcW w:type="dxa" w:w="1872"/>
          </w:tcPr>
          <w:p>
            <w:r/>
            <w:r>
              <w:rPr>
                <w:rFonts w:ascii="Times New Roman" w:hAnsi="Times New Roman" w:eastAsia="Times New Roman"/>
                <w:b/>
                <w:sz w:val="16"/>
              </w:rPr>
              <w:t>FN</w:t>
            </w:r>
          </w:p>
        </w:tc>
        <w:tc>
          <w:tcPr>
            <w:tcW w:type="dxa" w:w="1872"/>
          </w:tcPr>
          <w:p>
            <w:r/>
            <w:r>
              <w:rPr>
                <w:rFonts w:ascii="Times New Roman" w:hAnsi="Times New Roman" w:eastAsia="Times New Roman"/>
                <w:b/>
                <w:sz w:val="16"/>
              </w:rPr>
              <w:t>TN</w:t>
            </w:r>
          </w:p>
        </w:tc>
      </w:tr>
      <w:tr>
        <w:tc>
          <w:tcPr>
            <w:tcW w:type="dxa" w:w="1872"/>
          </w:tcPr>
          <w:p>
            <w:r/>
            <w:r>
              <w:rPr>
                <w:rFonts w:ascii="Times New Roman" w:hAnsi="Times New Roman" w:eastAsia="Times New Roman"/>
                <w:sz w:val="16"/>
              </w:rPr>
              <w:t>Без контекста (K=1)</w:t>
            </w:r>
          </w:p>
        </w:tc>
        <w:tc>
          <w:tcPr>
            <w:tcW w:type="dxa" w:w="1872"/>
          </w:tcPr>
          <w:p>
            <w:r/>
            <w:r>
              <w:rPr>
                <w:rFonts w:ascii="Times New Roman" w:hAnsi="Times New Roman" w:eastAsia="Times New Roman"/>
                <w:sz w:val="16"/>
              </w:rPr>
              <w:t>1752</w:t>
            </w:r>
          </w:p>
        </w:tc>
        <w:tc>
          <w:tcPr>
            <w:tcW w:type="dxa" w:w="1872"/>
          </w:tcPr>
          <w:p>
            <w:r/>
            <w:r>
              <w:rPr>
                <w:rFonts w:ascii="Times New Roman" w:hAnsi="Times New Roman" w:eastAsia="Times New Roman"/>
                <w:sz w:val="16"/>
              </w:rPr>
              <w:t>52</w:t>
            </w:r>
          </w:p>
        </w:tc>
        <w:tc>
          <w:tcPr>
            <w:tcW w:type="dxa" w:w="1872"/>
          </w:tcPr>
          <w:p>
            <w:r/>
            <w:r>
              <w:rPr>
                <w:rFonts w:ascii="Times New Roman" w:hAnsi="Times New Roman" w:eastAsia="Times New Roman"/>
                <w:sz w:val="16"/>
              </w:rPr>
              <w:t>394</w:t>
            </w:r>
          </w:p>
        </w:tc>
        <w:tc>
          <w:tcPr>
            <w:tcW w:type="dxa" w:w="1872"/>
          </w:tcPr>
          <w:p>
            <w:r/>
            <w:r>
              <w:rPr>
                <w:rFonts w:ascii="Times New Roman" w:hAnsi="Times New Roman" w:eastAsia="Times New Roman"/>
                <w:sz w:val="16"/>
              </w:rPr>
              <w:t>1979</w:t>
            </w:r>
          </w:p>
        </w:tc>
      </w:tr>
      <w:tr>
        <w:tc>
          <w:tcPr>
            <w:tcW w:type="dxa" w:w="1872"/>
          </w:tcPr>
          <w:p>
            <w:r/>
            <w:r>
              <w:rPr>
                <w:rFonts w:ascii="Times New Roman" w:hAnsi="Times New Roman" w:eastAsia="Times New Roman"/>
                <w:sz w:val="16"/>
              </w:rPr>
              <w:t>Физич. соседи (K=5)</w:t>
            </w:r>
          </w:p>
        </w:tc>
        <w:tc>
          <w:tcPr>
            <w:tcW w:type="dxa" w:w="1872"/>
          </w:tcPr>
          <w:p>
            <w:r/>
            <w:r>
              <w:rPr>
                <w:rFonts w:ascii="Times New Roman" w:hAnsi="Times New Roman" w:eastAsia="Times New Roman"/>
                <w:sz w:val="16"/>
              </w:rPr>
              <w:t>1653</w:t>
            </w:r>
          </w:p>
        </w:tc>
        <w:tc>
          <w:tcPr>
            <w:tcW w:type="dxa" w:w="1872"/>
          </w:tcPr>
          <w:p>
            <w:r/>
            <w:r>
              <w:rPr>
                <w:rFonts w:ascii="Times New Roman" w:hAnsi="Times New Roman" w:eastAsia="Times New Roman"/>
                <w:sz w:val="16"/>
              </w:rPr>
              <w:t>16</w:t>
            </w:r>
          </w:p>
        </w:tc>
        <w:tc>
          <w:tcPr>
            <w:tcW w:type="dxa" w:w="1872"/>
          </w:tcPr>
          <w:p>
            <w:r/>
            <w:r>
              <w:rPr>
                <w:rFonts w:ascii="Times New Roman" w:hAnsi="Times New Roman" w:eastAsia="Times New Roman"/>
                <w:sz w:val="16"/>
              </w:rPr>
              <w:t>493</w:t>
            </w:r>
          </w:p>
        </w:tc>
        <w:tc>
          <w:tcPr>
            <w:tcW w:type="dxa" w:w="1872"/>
          </w:tcPr>
          <w:p>
            <w:r/>
            <w:r>
              <w:rPr>
                <w:rFonts w:ascii="Times New Roman" w:hAnsi="Times New Roman" w:eastAsia="Times New Roman"/>
                <w:sz w:val="16"/>
              </w:rPr>
              <w:t>2015</w:t>
            </w:r>
          </w:p>
        </w:tc>
      </w:tr>
      <w:tr>
        <w:tc>
          <w:tcPr>
            <w:tcW w:type="dxa" w:w="1872"/>
          </w:tcPr>
          <w:p>
            <w:r/>
            <w:r>
              <w:rPr>
                <w:rFonts w:ascii="Times New Roman" w:hAnsi="Times New Roman" w:eastAsia="Times New Roman"/>
                <w:sz w:val="16"/>
              </w:rPr>
              <w:t>Случайные «соседи» (K=5)</w:t>
            </w:r>
          </w:p>
        </w:tc>
        <w:tc>
          <w:tcPr>
            <w:tcW w:type="dxa" w:w="1872"/>
          </w:tcPr>
          <w:p>
            <w:r/>
            <w:r>
              <w:rPr>
                <w:rFonts w:ascii="Times New Roman" w:hAnsi="Times New Roman" w:eastAsia="Times New Roman"/>
                <w:sz w:val="16"/>
              </w:rPr>
              <w:t>33</w:t>
            </w:r>
          </w:p>
        </w:tc>
        <w:tc>
          <w:tcPr>
            <w:tcW w:type="dxa" w:w="1872"/>
          </w:tcPr>
          <w:p>
            <w:r/>
            <w:r>
              <w:rPr>
                <w:rFonts w:ascii="Times New Roman" w:hAnsi="Times New Roman" w:eastAsia="Times New Roman"/>
                <w:sz w:val="16"/>
              </w:rPr>
              <w:t>19</w:t>
            </w:r>
          </w:p>
        </w:tc>
        <w:tc>
          <w:tcPr>
            <w:tcW w:type="dxa" w:w="1872"/>
          </w:tcPr>
          <w:p>
            <w:r/>
            <w:r>
              <w:rPr>
                <w:rFonts w:ascii="Times New Roman" w:hAnsi="Times New Roman" w:eastAsia="Times New Roman"/>
                <w:sz w:val="16"/>
              </w:rPr>
              <w:t>2113</w:t>
            </w:r>
          </w:p>
        </w:tc>
        <w:tc>
          <w:tcPr>
            <w:tcW w:type="dxa" w:w="1872"/>
          </w:tcPr>
          <w:p>
            <w:r/>
            <w:r>
              <w:rPr>
                <w:rFonts w:ascii="Times New Roman" w:hAnsi="Times New Roman" w:eastAsia="Times New Roman"/>
                <w:sz w:val="16"/>
              </w:rPr>
              <w:t>2012</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IV. 95%-ДОВЕРИТЕЛЬНЫЕ ИНТЕРВАЛЫ УИЛСОНА</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6"/>
              </w:rPr>
              <w:t>Конфигурация</w:t>
            </w:r>
          </w:p>
        </w:tc>
        <w:tc>
          <w:tcPr>
            <w:tcW w:type="dxa" w:w="1872"/>
          </w:tcPr>
          <w:p>
            <w:r/>
            <w:r>
              <w:rPr>
                <w:rFonts w:ascii="Times New Roman" w:hAnsi="Times New Roman" w:eastAsia="Times New Roman"/>
                <w:b/>
                <w:sz w:val="16"/>
              </w:rPr>
              <w:t>Detection recall</w:t>
            </w:r>
          </w:p>
        </w:tc>
        <w:tc>
          <w:tcPr>
            <w:tcW w:type="dxa" w:w="1872"/>
          </w:tcPr>
          <w:p>
            <w:r/>
            <w:r>
              <w:rPr>
                <w:rFonts w:ascii="Times New Roman" w:hAnsi="Times New Roman" w:eastAsia="Times New Roman"/>
                <w:b/>
                <w:sz w:val="16"/>
              </w:rPr>
              <w:t>Detection precision</w:t>
            </w:r>
          </w:p>
        </w:tc>
        <w:tc>
          <w:tcPr>
            <w:tcW w:type="dxa" w:w="1872"/>
          </w:tcPr>
          <w:p>
            <w:r/>
            <w:r>
              <w:rPr>
                <w:rFonts w:ascii="Times New Roman" w:hAnsi="Times New Roman" w:eastAsia="Times New Roman"/>
                <w:b/>
                <w:sz w:val="16"/>
              </w:rPr>
              <w:t>Pixel recall</w:t>
            </w:r>
          </w:p>
        </w:tc>
        <w:tc>
          <w:tcPr>
            <w:tcW w:type="dxa" w:w="1872"/>
          </w:tcPr>
          <w:p>
            <w:r/>
            <w:r>
              <w:rPr>
                <w:rFonts w:ascii="Times New Roman" w:hAnsi="Times New Roman" w:eastAsia="Times New Roman"/>
                <w:b/>
                <w:sz w:val="16"/>
              </w:rPr>
              <w:t>Pixel precision</w:t>
            </w:r>
          </w:p>
        </w:tc>
      </w:tr>
      <w:tr>
        <w:tc>
          <w:tcPr>
            <w:tcW w:type="dxa" w:w="1872"/>
          </w:tcPr>
          <w:p>
            <w:r/>
            <w:r>
              <w:rPr>
                <w:rFonts w:ascii="Times New Roman" w:hAnsi="Times New Roman" w:eastAsia="Times New Roman"/>
                <w:sz w:val="16"/>
              </w:rPr>
              <w:t>Без контекста (K=1)</w:t>
            </w:r>
          </w:p>
        </w:tc>
        <w:tc>
          <w:tcPr>
            <w:tcW w:type="dxa" w:w="1872"/>
          </w:tcPr>
          <w:p>
            <w:r/>
            <w:r>
              <w:rPr>
                <w:rFonts w:ascii="Times New Roman" w:hAnsi="Times New Roman" w:eastAsia="Times New Roman"/>
                <w:sz w:val="16"/>
              </w:rPr>
              <w:t>[79,9%, 83,2%]</w:t>
            </w:r>
          </w:p>
        </w:tc>
        <w:tc>
          <w:tcPr>
            <w:tcW w:type="dxa" w:w="1872"/>
          </w:tcPr>
          <w:p>
            <w:r/>
            <w:r>
              <w:rPr>
                <w:rFonts w:ascii="Times New Roman" w:hAnsi="Times New Roman" w:eastAsia="Times New Roman"/>
                <w:sz w:val="16"/>
              </w:rPr>
              <w:t>[96,2%, 97,8%]</w:t>
            </w:r>
          </w:p>
        </w:tc>
        <w:tc>
          <w:tcPr>
            <w:tcW w:type="dxa" w:w="1872"/>
          </w:tcPr>
          <w:p>
            <w:r/>
            <w:r>
              <w:rPr>
                <w:rFonts w:ascii="Times New Roman" w:hAnsi="Times New Roman" w:eastAsia="Times New Roman"/>
                <w:sz w:val="16"/>
              </w:rPr>
              <w:t>[73,1%, 73,4%]</w:t>
            </w:r>
          </w:p>
        </w:tc>
        <w:tc>
          <w:tcPr>
            <w:tcW w:type="dxa" w:w="1872"/>
          </w:tcPr>
          <w:p>
            <w:r/>
            <w:r>
              <w:rPr>
                <w:rFonts w:ascii="Times New Roman" w:hAnsi="Times New Roman" w:eastAsia="Times New Roman"/>
                <w:sz w:val="16"/>
              </w:rPr>
              <w:t>[89,1%, 89,3%]</w:t>
            </w:r>
          </w:p>
        </w:tc>
      </w:tr>
      <w:tr>
        <w:tc>
          <w:tcPr>
            <w:tcW w:type="dxa" w:w="1872"/>
          </w:tcPr>
          <w:p>
            <w:r/>
            <w:r>
              <w:rPr>
                <w:rFonts w:ascii="Times New Roman" w:hAnsi="Times New Roman" w:eastAsia="Times New Roman"/>
                <w:sz w:val="16"/>
              </w:rPr>
              <w:t>Физич. соседи (K=5)</w:t>
            </w:r>
          </w:p>
        </w:tc>
        <w:tc>
          <w:tcPr>
            <w:tcW w:type="dxa" w:w="1872"/>
          </w:tcPr>
          <w:p>
            <w:r/>
            <w:r>
              <w:rPr>
                <w:rFonts w:ascii="Times New Roman" w:hAnsi="Times New Roman" w:eastAsia="Times New Roman"/>
                <w:sz w:val="16"/>
              </w:rPr>
              <w:t>[75,2%, 78,8%]</w:t>
            </w:r>
          </w:p>
        </w:tc>
        <w:tc>
          <w:tcPr>
            <w:tcW w:type="dxa" w:w="1872"/>
          </w:tcPr>
          <w:p>
            <w:r/>
            <w:r>
              <w:rPr>
                <w:rFonts w:ascii="Times New Roman" w:hAnsi="Times New Roman" w:eastAsia="Times New Roman"/>
                <w:sz w:val="16"/>
              </w:rPr>
              <w:t>[98,4%, 99,4%]</w:t>
            </w:r>
          </w:p>
        </w:tc>
        <w:tc>
          <w:tcPr>
            <w:tcW w:type="dxa" w:w="1872"/>
          </w:tcPr>
          <w:p>
            <w:r/>
            <w:r>
              <w:rPr>
                <w:rFonts w:ascii="Times New Roman" w:hAnsi="Times New Roman" w:eastAsia="Times New Roman"/>
                <w:sz w:val="16"/>
              </w:rPr>
              <w:t>[68,1%, 68,4%]</w:t>
            </w:r>
          </w:p>
        </w:tc>
        <w:tc>
          <w:tcPr>
            <w:tcW w:type="dxa" w:w="1872"/>
          </w:tcPr>
          <w:p>
            <w:r/>
            <w:r>
              <w:rPr>
                <w:rFonts w:ascii="Times New Roman" w:hAnsi="Times New Roman" w:eastAsia="Times New Roman"/>
                <w:sz w:val="16"/>
              </w:rPr>
              <w:t>[91,8%, 92,0%]</w:t>
            </w:r>
          </w:p>
        </w:tc>
      </w:tr>
      <w:tr>
        <w:tc>
          <w:tcPr>
            <w:tcW w:type="dxa" w:w="1872"/>
          </w:tcPr>
          <w:p>
            <w:r/>
            <w:r>
              <w:rPr>
                <w:rFonts w:ascii="Times New Roman" w:hAnsi="Times New Roman" w:eastAsia="Times New Roman"/>
                <w:sz w:val="16"/>
              </w:rPr>
              <w:t>Случайные «соседи» (K=5)</w:t>
            </w:r>
          </w:p>
        </w:tc>
        <w:tc>
          <w:tcPr>
            <w:tcW w:type="dxa" w:w="1872"/>
          </w:tcPr>
          <w:p>
            <w:r/>
            <w:r>
              <w:rPr>
                <w:rFonts w:ascii="Times New Roman" w:hAnsi="Times New Roman" w:eastAsia="Times New Roman"/>
                <w:sz w:val="16"/>
              </w:rPr>
              <w:t>[1,1%, 2,2%]</w:t>
            </w:r>
          </w:p>
        </w:tc>
        <w:tc>
          <w:tcPr>
            <w:tcW w:type="dxa" w:w="1872"/>
          </w:tcPr>
          <w:p>
            <w:r/>
            <w:r>
              <w:rPr>
                <w:rFonts w:ascii="Times New Roman" w:hAnsi="Times New Roman" w:eastAsia="Times New Roman"/>
                <w:sz w:val="16"/>
              </w:rPr>
              <w:t>[49,9%, 75,2%]</w:t>
            </w:r>
          </w:p>
        </w:tc>
        <w:tc>
          <w:tcPr>
            <w:tcW w:type="dxa" w:w="1872"/>
          </w:tcPr>
          <w:p>
            <w:r/>
            <w:r>
              <w:rPr>
                <w:rFonts w:ascii="Times New Roman" w:hAnsi="Times New Roman" w:eastAsia="Times New Roman"/>
                <w:sz w:val="16"/>
              </w:rPr>
              <w:t>[0,3%, 0,4%]</w:t>
            </w:r>
          </w:p>
        </w:tc>
        <w:tc>
          <w:tcPr>
            <w:tcW w:type="dxa" w:w="1872"/>
          </w:tcPr>
          <w:p>
            <w:r/>
            <w:r>
              <w:rPr>
                <w:rFonts w:ascii="Times New Roman" w:hAnsi="Times New Roman" w:eastAsia="Times New Roman"/>
                <w:sz w:val="16"/>
              </w:rPr>
              <w:t>[44,8%, 47,9%]</w:t>
            </w:r>
          </w:p>
        </w:tc>
      </w:tr>
    </w:tbl>
    <w:p>
      <w:pPr>
        <w:sectPr>
          <w:type w:val="continuous"/>
          <w:pgSz w:w="12240" w:h="15840"/>
          <w:pgMar w:top="1440" w:right="1440" w:bottom="1440" w:left="1440" w:header="720" w:footer="720" w:gutter="0"/>
          <w:cols w:space="0" w:num="1"/>
          <w:docGrid w:linePitch="360"/>
        </w:sectPr>
      </w:pPr>
    </w:p>
    <w:p>
      <w:pPr>
        <w:spacing w:before="160" w:after="60"/>
      </w:pPr>
      <w:r>
        <w:rPr>
          <w:rFonts w:ascii="Times New Roman" w:hAnsi="Times New Roman" w:eastAsia="Times New Roman"/>
          <w:b/>
          <w:i/>
          <w:sz w:val="18"/>
        </w:rPr>
        <w:t>C. Качественные примеры и сравнение архитектур</w:t>
      </w: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760720" cy="3792557"/>
            <wp:docPr id="6" name="Picture 6"/>
            <wp:cNvGraphicFramePr>
              <a:graphicFrameLocks noChangeAspect="1"/>
            </wp:cNvGraphicFramePr>
            <a:graphic>
              <a:graphicData uri="http://schemas.openxmlformats.org/drawingml/2006/picture">
                <pic:pic>
                  <pic:nvPicPr>
                    <pic:cNvPr id="0" name="article4_unet_fig_examples.png"/>
                    <pic:cNvPicPr/>
                  </pic:nvPicPr>
                  <pic:blipFill>
                    <a:blip r:embed="rId14"/>
                    <a:stretch>
                      <a:fillRect/>
                    </a:stretch>
                  </pic:blipFill>
                  <pic:spPr>
                    <a:xfrm>
                      <a:off x="0" y="0"/>
                      <a:ext cx="5760720" cy="3792557"/>
                    </a:xfrm>
                    <a:prstGeom prst="rect"/>
                  </pic:spPr>
                </pic:pic>
              </a:graphicData>
            </a:graphic>
          </wp:inline>
        </w:drawing>
      </w:r>
    </w:p>
    <w:p>
      <w:pPr>
        <w:jc w:val="center"/>
      </w:pPr>
      <w:r>
        <w:rPr>
          <w:rFonts w:ascii="Times New Roman" w:hAnsi="Times New Roman" w:eastAsia="Times New Roman"/>
          <w:sz w:val="16"/>
        </w:rPr>
        <w:t>Рис. 6. Примеры сегментации: исходный срез, разметка и предсказания трёх конфигураций.</w:t>
      </w:r>
    </w:p>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V. КАЧЕСТВО СЕГМЕНТАЦИИ ПО АРХИТЕКТУРАМ</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6"/>
              </w:rPr>
              <w:t>Архитектура</w:t>
            </w:r>
          </w:p>
        </w:tc>
        <w:tc>
          <w:tcPr>
            <w:tcW w:type="dxa" w:w="1872"/>
          </w:tcPr>
          <w:p>
            <w:r/>
            <w:r>
              <w:rPr>
                <w:rFonts w:ascii="Times New Roman" w:hAnsi="Times New Roman" w:eastAsia="Times New Roman"/>
                <w:b/>
                <w:sz w:val="16"/>
              </w:rPr>
              <w:t>Dice, все срезы</w:t>
            </w:r>
          </w:p>
        </w:tc>
        <w:tc>
          <w:tcPr>
            <w:tcW w:type="dxa" w:w="1872"/>
          </w:tcPr>
          <w:p>
            <w:r/>
            <w:r>
              <w:rPr>
                <w:rFonts w:ascii="Times New Roman" w:hAnsi="Times New Roman" w:eastAsia="Times New Roman"/>
                <w:b/>
                <w:sz w:val="16"/>
              </w:rPr>
              <w:t>Dice, с опухолью</w:t>
            </w:r>
          </w:p>
        </w:tc>
        <w:tc>
          <w:tcPr>
            <w:tcW w:type="dxa" w:w="1872"/>
          </w:tcPr>
          <w:p>
            <w:r/>
            <w:r>
              <w:rPr>
                <w:rFonts w:ascii="Times New Roman" w:hAnsi="Times New Roman" w:eastAsia="Times New Roman"/>
                <w:b/>
                <w:sz w:val="16"/>
              </w:rPr>
              <w:t>Параметров</w:t>
            </w:r>
          </w:p>
        </w:tc>
        <w:tc>
          <w:tcPr>
            <w:tcW w:type="dxa" w:w="1872"/>
          </w:tcPr>
          <w:p>
            <w:r/>
            <w:r>
              <w:rPr>
                <w:rFonts w:ascii="Times New Roman" w:hAnsi="Times New Roman" w:eastAsia="Times New Roman"/>
                <w:b/>
                <w:sz w:val="16"/>
              </w:rPr>
              <w:t>Время</w:t>
            </w:r>
          </w:p>
        </w:tc>
      </w:tr>
      <w:tr>
        <w:tc>
          <w:tcPr>
            <w:tcW w:type="dxa" w:w="1872"/>
          </w:tcPr>
          <w:p>
            <w:r/>
            <w:r>
              <w:rPr>
                <w:rFonts w:ascii="Times New Roman" w:hAnsi="Times New Roman" w:eastAsia="Times New Roman"/>
                <w:sz w:val="16"/>
              </w:rPr>
              <w:t>U-Net (базовый)</w:t>
            </w:r>
          </w:p>
        </w:tc>
        <w:tc>
          <w:tcPr>
            <w:tcW w:type="dxa" w:w="1872"/>
          </w:tcPr>
          <w:p>
            <w:r/>
            <w:r>
              <w:rPr>
                <w:rFonts w:ascii="Times New Roman" w:hAnsi="Times New Roman" w:eastAsia="Times New Roman"/>
                <w:sz w:val="16"/>
              </w:rPr>
              <w:t>0,804</w:t>
            </w:r>
          </w:p>
        </w:tc>
        <w:tc>
          <w:tcPr>
            <w:tcW w:type="dxa" w:w="1872"/>
          </w:tcPr>
          <w:p>
            <w:r/>
            <w:r>
              <w:rPr>
                <w:rFonts w:ascii="Times New Roman" w:hAnsi="Times New Roman" w:eastAsia="Times New Roman"/>
                <w:sz w:val="16"/>
              </w:rPr>
              <w:t>0,625</w:t>
            </w:r>
          </w:p>
        </w:tc>
        <w:tc>
          <w:tcPr>
            <w:tcW w:type="dxa" w:w="1872"/>
          </w:tcPr>
          <w:p>
            <w:r/>
            <w:r>
              <w:rPr>
                <w:rFonts w:ascii="Times New Roman" w:hAnsi="Times New Roman" w:eastAsia="Times New Roman"/>
                <w:sz w:val="16"/>
              </w:rPr>
              <w:t>—</w:t>
            </w:r>
          </w:p>
        </w:tc>
        <w:tc>
          <w:tcPr>
            <w:tcW w:type="dxa" w:w="1872"/>
          </w:tcPr>
          <w:p>
            <w:r/>
            <w:r>
              <w:rPr>
                <w:rFonts w:ascii="Times New Roman" w:hAnsi="Times New Roman" w:eastAsia="Times New Roman"/>
                <w:sz w:val="16"/>
              </w:rPr>
              <w:t>112 с</w:t>
            </w:r>
          </w:p>
        </w:tc>
      </w:tr>
      <w:tr>
        <w:tc>
          <w:tcPr>
            <w:tcW w:type="dxa" w:w="1872"/>
          </w:tcPr>
          <w:p>
            <w:r/>
            <w:r>
              <w:rPr>
                <w:rFonts w:ascii="Times New Roman" w:hAnsi="Times New Roman" w:eastAsia="Times New Roman"/>
                <w:sz w:val="16"/>
              </w:rPr>
              <w:t>Plain encoder-decoder (без skip)</w:t>
            </w:r>
          </w:p>
        </w:tc>
        <w:tc>
          <w:tcPr>
            <w:tcW w:type="dxa" w:w="1872"/>
          </w:tcPr>
          <w:p>
            <w:r/>
            <w:r>
              <w:rPr>
                <w:rFonts w:ascii="Times New Roman" w:hAnsi="Times New Roman" w:eastAsia="Times New Roman"/>
                <w:sz w:val="16"/>
              </w:rPr>
              <w:t>0,773</w:t>
            </w:r>
          </w:p>
        </w:tc>
        <w:tc>
          <w:tcPr>
            <w:tcW w:type="dxa" w:w="1872"/>
          </w:tcPr>
          <w:p>
            <w:r/>
            <w:r>
              <w:rPr>
                <w:rFonts w:ascii="Times New Roman" w:hAnsi="Times New Roman" w:eastAsia="Times New Roman"/>
                <w:sz w:val="16"/>
              </w:rPr>
              <w:t>0,564</w:t>
            </w:r>
          </w:p>
        </w:tc>
        <w:tc>
          <w:tcPr>
            <w:tcW w:type="dxa" w:w="1872"/>
          </w:tcPr>
          <w:p>
            <w:r/>
            <w:r>
              <w:rPr>
                <w:rFonts w:ascii="Times New Roman" w:hAnsi="Times New Roman" w:eastAsia="Times New Roman"/>
                <w:sz w:val="16"/>
              </w:rPr>
              <w:t>1 735 457</w:t>
            </w:r>
          </w:p>
        </w:tc>
        <w:tc>
          <w:tcPr>
            <w:tcW w:type="dxa" w:w="1872"/>
          </w:tcPr>
          <w:p>
            <w:r/>
            <w:r>
              <w:rPr>
                <w:rFonts w:ascii="Times New Roman" w:hAnsi="Times New Roman" w:eastAsia="Times New Roman"/>
                <w:sz w:val="16"/>
              </w:rPr>
              <w:t>118 с</w:t>
            </w:r>
          </w:p>
        </w:tc>
      </w:tr>
      <w:tr>
        <w:tc>
          <w:tcPr>
            <w:tcW w:type="dxa" w:w="1872"/>
          </w:tcPr>
          <w:p>
            <w:r/>
            <w:r>
              <w:rPr>
                <w:rFonts w:ascii="Times New Roman" w:hAnsi="Times New Roman" w:eastAsia="Times New Roman"/>
                <w:sz w:val="16"/>
              </w:rPr>
              <w:t>Residual U-Net</w:t>
            </w:r>
          </w:p>
        </w:tc>
        <w:tc>
          <w:tcPr>
            <w:tcW w:type="dxa" w:w="1872"/>
          </w:tcPr>
          <w:p>
            <w:r/>
            <w:r>
              <w:rPr>
                <w:rFonts w:ascii="Times New Roman" w:hAnsi="Times New Roman" w:eastAsia="Times New Roman"/>
                <w:sz w:val="16"/>
              </w:rPr>
              <w:t>0,824</w:t>
            </w:r>
          </w:p>
        </w:tc>
        <w:tc>
          <w:tcPr>
            <w:tcW w:type="dxa" w:w="1872"/>
          </w:tcPr>
          <w:p>
            <w:r/>
            <w:r>
              <w:rPr>
                <w:rFonts w:ascii="Times New Roman" w:hAnsi="Times New Roman" w:eastAsia="Times New Roman"/>
                <w:sz w:val="16"/>
              </w:rPr>
              <w:t>0,678</w:t>
            </w:r>
          </w:p>
        </w:tc>
        <w:tc>
          <w:tcPr>
            <w:tcW w:type="dxa" w:w="1872"/>
          </w:tcPr>
          <w:p>
            <w:r/>
            <w:r>
              <w:rPr>
                <w:rFonts w:ascii="Times New Roman" w:hAnsi="Times New Roman" w:eastAsia="Times New Roman"/>
                <w:sz w:val="16"/>
              </w:rPr>
              <w:t>2 015 873</w:t>
            </w:r>
          </w:p>
        </w:tc>
        <w:tc>
          <w:tcPr>
            <w:tcW w:type="dxa" w:w="1872"/>
          </w:tcPr>
          <w:p>
            <w:r/>
            <w:r>
              <w:rPr>
                <w:rFonts w:ascii="Times New Roman" w:hAnsi="Times New Roman" w:eastAsia="Times New Roman"/>
                <w:sz w:val="16"/>
              </w:rPr>
              <w:t>135 с</w:t>
            </w:r>
          </w:p>
        </w:tc>
      </w:tr>
      <w:tr>
        <w:tc>
          <w:tcPr>
            <w:tcW w:type="dxa" w:w="1872"/>
          </w:tcPr>
          <w:p>
            <w:r/>
            <w:r>
              <w:rPr>
                <w:rFonts w:ascii="Times New Roman" w:hAnsi="Times New Roman" w:eastAsia="Times New Roman"/>
                <w:sz w:val="16"/>
              </w:rPr>
              <w:t>Attention U-Net</w:t>
            </w:r>
          </w:p>
        </w:tc>
        <w:tc>
          <w:tcPr>
            <w:tcW w:type="dxa" w:w="1872"/>
          </w:tcPr>
          <w:p>
            <w:r/>
            <w:r>
              <w:rPr>
                <w:rFonts w:ascii="Times New Roman" w:hAnsi="Times New Roman" w:eastAsia="Times New Roman"/>
                <w:sz w:val="16"/>
              </w:rPr>
              <w:t>0,827</w:t>
            </w:r>
          </w:p>
        </w:tc>
        <w:tc>
          <w:tcPr>
            <w:tcW w:type="dxa" w:w="1872"/>
          </w:tcPr>
          <w:p>
            <w:r/>
            <w:r>
              <w:rPr>
                <w:rFonts w:ascii="Times New Roman" w:hAnsi="Times New Roman" w:eastAsia="Times New Roman"/>
                <w:sz w:val="16"/>
              </w:rPr>
              <w:t>0,686</w:t>
            </w:r>
          </w:p>
        </w:tc>
        <w:tc>
          <w:tcPr>
            <w:tcW w:type="dxa" w:w="1872"/>
          </w:tcPr>
          <w:p>
            <w:r/>
            <w:r>
              <w:rPr>
                <w:rFonts w:ascii="Times New Roman" w:hAnsi="Times New Roman" w:eastAsia="Times New Roman"/>
                <w:sz w:val="16"/>
              </w:rPr>
              <w:t>1 951 284</w:t>
            </w:r>
          </w:p>
        </w:tc>
        <w:tc>
          <w:tcPr>
            <w:tcW w:type="dxa" w:w="1872"/>
          </w:tcPr>
          <w:p>
            <w:r/>
            <w:r>
              <w:rPr>
                <w:rFonts w:ascii="Times New Roman" w:hAnsi="Times New Roman" w:eastAsia="Times New Roman"/>
                <w:sz w:val="16"/>
              </w:rPr>
              <w:t>136 с</w:t>
            </w:r>
          </w:p>
        </w:tc>
      </w:tr>
      <w:tr>
        <w:tc>
          <w:tcPr>
            <w:tcW w:type="dxa" w:w="1872"/>
          </w:tcPr>
          <w:p>
            <w:r/>
            <w:r>
              <w:rPr>
                <w:rFonts w:ascii="Times New Roman" w:hAnsi="Times New Roman" w:eastAsia="Times New Roman"/>
                <w:sz w:val="16"/>
              </w:rPr>
              <w:t>SegNet</w:t>
            </w:r>
          </w:p>
        </w:tc>
        <w:tc>
          <w:tcPr>
            <w:tcW w:type="dxa" w:w="1872"/>
          </w:tcPr>
          <w:p>
            <w:r/>
            <w:r>
              <w:rPr>
                <w:rFonts w:ascii="Times New Roman" w:hAnsi="Times New Roman" w:eastAsia="Times New Roman"/>
                <w:sz w:val="16"/>
              </w:rPr>
              <w:t>0,796</w:t>
            </w:r>
          </w:p>
        </w:tc>
        <w:tc>
          <w:tcPr>
            <w:tcW w:type="dxa" w:w="1872"/>
          </w:tcPr>
          <w:p>
            <w:r/>
            <w:r>
              <w:rPr>
                <w:rFonts w:ascii="Times New Roman" w:hAnsi="Times New Roman" w:eastAsia="Times New Roman"/>
                <w:sz w:val="16"/>
              </w:rPr>
              <w:t>0,673</w:t>
            </w:r>
          </w:p>
        </w:tc>
        <w:tc>
          <w:tcPr>
            <w:tcW w:type="dxa" w:w="1872"/>
          </w:tcPr>
          <w:p>
            <w:r/>
            <w:r>
              <w:rPr>
                <w:rFonts w:ascii="Times New Roman" w:hAnsi="Times New Roman" w:eastAsia="Times New Roman"/>
                <w:sz w:val="16"/>
              </w:rPr>
              <w:t>1 606 433</w:t>
            </w:r>
          </w:p>
        </w:tc>
        <w:tc>
          <w:tcPr>
            <w:tcW w:type="dxa" w:w="1872"/>
          </w:tcPr>
          <w:p>
            <w:r/>
            <w:r>
              <w:rPr>
                <w:rFonts w:ascii="Times New Roman" w:hAnsi="Times New Roman" w:eastAsia="Times New Roman"/>
                <w:sz w:val="16"/>
              </w:rPr>
              <w:t>115 с</w:t>
            </w:r>
          </w:p>
        </w:tc>
      </w:tr>
      <w:tr>
        <w:tc>
          <w:tcPr>
            <w:tcW w:type="dxa" w:w="1872"/>
          </w:tcPr>
          <w:p>
            <w:r/>
            <w:r>
              <w:rPr>
                <w:rFonts w:ascii="Times New Roman" w:hAnsi="Times New Roman" w:eastAsia="Times New Roman"/>
                <w:sz w:val="16"/>
              </w:rPr>
              <w:t>FCN-8s</w:t>
            </w:r>
          </w:p>
        </w:tc>
        <w:tc>
          <w:tcPr>
            <w:tcW w:type="dxa" w:w="1872"/>
          </w:tcPr>
          <w:p>
            <w:r/>
            <w:r>
              <w:rPr>
                <w:rFonts w:ascii="Times New Roman" w:hAnsi="Times New Roman" w:eastAsia="Times New Roman"/>
                <w:sz w:val="16"/>
              </w:rPr>
              <w:t>0,818</w:t>
            </w:r>
          </w:p>
        </w:tc>
        <w:tc>
          <w:tcPr>
            <w:tcW w:type="dxa" w:w="1872"/>
          </w:tcPr>
          <w:p>
            <w:r/>
            <w:r>
              <w:rPr>
                <w:rFonts w:ascii="Times New Roman" w:hAnsi="Times New Roman" w:eastAsia="Times New Roman"/>
                <w:sz w:val="16"/>
              </w:rPr>
              <w:t>0,654</w:t>
            </w:r>
          </w:p>
        </w:tc>
        <w:tc>
          <w:tcPr>
            <w:tcW w:type="dxa" w:w="1872"/>
          </w:tcPr>
          <w:p>
            <w:r/>
            <w:r>
              <w:rPr>
                <w:rFonts w:ascii="Times New Roman" w:hAnsi="Times New Roman" w:eastAsia="Times New Roman"/>
                <w:sz w:val="16"/>
              </w:rPr>
              <w:t>1 175 203</w:t>
            </w:r>
          </w:p>
        </w:tc>
        <w:tc>
          <w:tcPr>
            <w:tcW w:type="dxa" w:w="1872"/>
          </w:tcPr>
          <w:p>
            <w:r/>
            <w:r>
              <w:rPr>
                <w:rFonts w:ascii="Times New Roman" w:hAnsi="Times New Roman" w:eastAsia="Times New Roman"/>
                <w:sz w:val="16"/>
              </w:rPr>
              <w:t>97 с</w:t>
            </w:r>
          </w:p>
        </w:tc>
      </w:tr>
      <w:tr>
        <w:tc>
          <w:tcPr>
            <w:tcW w:type="dxa" w:w="1872"/>
          </w:tcPr>
          <w:p>
            <w:r/>
            <w:r>
              <w:rPr>
                <w:rFonts w:ascii="Times New Roman" w:hAnsi="Times New Roman" w:eastAsia="Times New Roman"/>
                <w:sz w:val="16"/>
              </w:rPr>
              <w:t>MultiResUNet</w:t>
            </w:r>
          </w:p>
        </w:tc>
        <w:tc>
          <w:tcPr>
            <w:tcW w:type="dxa" w:w="1872"/>
          </w:tcPr>
          <w:p>
            <w:r/>
            <w:r>
              <w:rPr>
                <w:rFonts w:ascii="Times New Roman" w:hAnsi="Times New Roman" w:eastAsia="Times New Roman"/>
                <w:sz w:val="16"/>
              </w:rPr>
              <w:t>0,812</w:t>
            </w:r>
          </w:p>
        </w:tc>
        <w:tc>
          <w:tcPr>
            <w:tcW w:type="dxa" w:w="1872"/>
          </w:tcPr>
          <w:p>
            <w:r/>
            <w:r>
              <w:rPr>
                <w:rFonts w:ascii="Times New Roman" w:hAnsi="Times New Roman" w:eastAsia="Times New Roman"/>
                <w:sz w:val="16"/>
              </w:rPr>
              <w:t>0,673</w:t>
            </w:r>
          </w:p>
        </w:tc>
        <w:tc>
          <w:tcPr>
            <w:tcW w:type="dxa" w:w="1872"/>
          </w:tcPr>
          <w:p>
            <w:r/>
            <w:r>
              <w:rPr>
                <w:rFonts w:ascii="Times New Roman" w:hAnsi="Times New Roman" w:eastAsia="Times New Roman"/>
                <w:sz w:val="16"/>
              </w:rPr>
              <w:t>1 011 952</w:t>
            </w:r>
          </w:p>
        </w:tc>
        <w:tc>
          <w:tcPr>
            <w:tcW w:type="dxa" w:w="1872"/>
          </w:tcPr>
          <w:p>
            <w:r/>
            <w:r>
              <w:rPr>
                <w:rFonts w:ascii="Times New Roman" w:hAnsi="Times New Roman" w:eastAsia="Times New Roman"/>
                <w:sz w:val="16"/>
              </w:rPr>
              <w:t>175 с</w:t>
            </w:r>
          </w:p>
        </w:tc>
      </w:tr>
      <w:tr>
        <w:tc>
          <w:tcPr>
            <w:tcW w:type="dxa" w:w="1872"/>
          </w:tcPr>
          <w:p>
            <w:r/>
            <w:r>
              <w:rPr>
                <w:rFonts w:ascii="Times New Roman" w:hAnsi="Times New Roman" w:eastAsia="Times New Roman"/>
                <w:sz w:val="16"/>
              </w:rPr>
              <w:t>DeepLabV3+ (lite)</w:t>
            </w:r>
          </w:p>
        </w:tc>
        <w:tc>
          <w:tcPr>
            <w:tcW w:type="dxa" w:w="1872"/>
          </w:tcPr>
          <w:p>
            <w:r/>
            <w:r>
              <w:rPr>
                <w:rFonts w:ascii="Times New Roman" w:hAnsi="Times New Roman" w:eastAsia="Times New Roman"/>
                <w:sz w:val="16"/>
              </w:rPr>
              <w:t>0,837</w:t>
            </w:r>
          </w:p>
        </w:tc>
        <w:tc>
          <w:tcPr>
            <w:tcW w:type="dxa" w:w="1872"/>
          </w:tcPr>
          <w:p>
            <w:r/>
            <w:r>
              <w:rPr>
                <w:rFonts w:ascii="Times New Roman" w:hAnsi="Times New Roman" w:eastAsia="Times New Roman"/>
                <w:sz w:val="16"/>
              </w:rPr>
              <w:t>0,695</w:t>
            </w:r>
          </w:p>
        </w:tc>
        <w:tc>
          <w:tcPr>
            <w:tcW w:type="dxa" w:w="1872"/>
          </w:tcPr>
          <w:p>
            <w:r/>
            <w:r>
              <w:rPr>
                <w:rFonts w:ascii="Times New Roman" w:hAnsi="Times New Roman" w:eastAsia="Times New Roman"/>
                <w:sz w:val="16"/>
              </w:rPr>
              <w:t>2 487 697</w:t>
            </w:r>
          </w:p>
        </w:tc>
        <w:tc>
          <w:tcPr>
            <w:tcW w:type="dxa" w:w="1872"/>
          </w:tcPr>
          <w:p>
            <w:r/>
            <w:r>
              <w:rPr>
                <w:rFonts w:ascii="Times New Roman" w:hAnsi="Times New Roman" w:eastAsia="Times New Roman"/>
                <w:sz w:val="16"/>
              </w:rPr>
              <w:t>287 с</w:t>
            </w:r>
          </w:p>
        </w:tc>
      </w:tr>
      <w:tr>
        <w:tc>
          <w:tcPr>
            <w:tcW w:type="dxa" w:w="1872"/>
          </w:tcPr>
          <w:p>
            <w:r/>
            <w:r>
              <w:rPr>
                <w:rFonts w:ascii="Times New Roman" w:hAnsi="Times New Roman" w:eastAsia="Times New Roman"/>
                <w:sz w:val="16"/>
              </w:rPr>
              <w:t>ResNet18-UNet (transfer learning)</w:t>
            </w:r>
          </w:p>
        </w:tc>
        <w:tc>
          <w:tcPr>
            <w:tcW w:type="dxa" w:w="1872"/>
          </w:tcPr>
          <w:p>
            <w:r/>
            <w:r>
              <w:rPr>
                <w:rFonts w:ascii="Times New Roman" w:hAnsi="Times New Roman" w:eastAsia="Times New Roman"/>
                <w:sz w:val="16"/>
              </w:rPr>
              <w:t>0,746</w:t>
            </w:r>
          </w:p>
        </w:tc>
        <w:tc>
          <w:tcPr>
            <w:tcW w:type="dxa" w:w="1872"/>
          </w:tcPr>
          <w:p>
            <w:r/>
            <w:r>
              <w:rPr>
                <w:rFonts w:ascii="Times New Roman" w:hAnsi="Times New Roman" w:eastAsia="Times New Roman"/>
                <w:sz w:val="16"/>
              </w:rPr>
              <w:t>0,506</w:t>
            </w:r>
          </w:p>
        </w:tc>
        <w:tc>
          <w:tcPr>
            <w:tcW w:type="dxa" w:w="1872"/>
          </w:tcPr>
          <w:p>
            <w:r/>
            <w:r>
              <w:rPr>
                <w:rFonts w:ascii="Times New Roman" w:hAnsi="Times New Roman" w:eastAsia="Times New Roman"/>
                <w:sz w:val="16"/>
              </w:rPr>
              <w:t>14 350 785</w:t>
            </w:r>
          </w:p>
        </w:tc>
        <w:tc>
          <w:tcPr>
            <w:tcW w:type="dxa" w:w="1872"/>
          </w:tcPr>
          <w:p>
            <w:r/>
            <w:r>
              <w:rPr>
                <w:rFonts w:ascii="Times New Roman" w:hAnsi="Times New Roman" w:eastAsia="Times New Roman"/>
                <w:sz w:val="16"/>
              </w:rPr>
              <w:t>142 с</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6858000" cy="2504661"/>
            <wp:docPr id="7" name="Picture 7"/>
            <wp:cNvGraphicFramePr>
              <a:graphicFrameLocks noChangeAspect="1"/>
            </wp:cNvGraphicFramePr>
            <a:graphic>
              <a:graphicData uri="http://schemas.openxmlformats.org/drawingml/2006/picture">
                <pic:pic>
                  <pic:nvPicPr>
                    <pic:cNvPr id="0" name="article4_unet_chart_architectures.png"/>
                    <pic:cNvPicPr/>
                  </pic:nvPicPr>
                  <pic:blipFill>
                    <a:blip r:embed="rId15"/>
                    <a:stretch>
                      <a:fillRect/>
                    </a:stretch>
                  </pic:blipFill>
                  <pic:spPr>
                    <a:xfrm>
                      <a:off x="0" y="0"/>
                      <a:ext cx="6858000" cy="2504661"/>
                    </a:xfrm>
                    <a:prstGeom prst="rect"/>
                  </pic:spPr>
                </pic:pic>
              </a:graphicData>
            </a:graphic>
          </wp:inline>
        </w:drawing>
      </w:r>
    </w:p>
    <w:p>
      <w:pPr>
        <w:jc w:val="center"/>
      </w:pPr>
      <w:r>
        <w:rPr>
          <w:rFonts w:ascii="Times New Roman" w:hAnsi="Times New Roman" w:eastAsia="Times New Roman"/>
          <w:sz w:val="16"/>
        </w:rPr>
        <w:t>Рис. 7. Dice по девяти архитектурам.</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Лучший результат на одной модальности — DeepLabV3+ (lite) (69,5% Dice с опухолью). ResNet18-UNet (transfer learning) не дал преимущества перед специализированными архитектурами (50,6% — один из худших результатов) — правдоподобно из-за короткого бюджета дообучения и отсутствия согласования нормализации входа с исходным ImageNet-предобучением. Сравнение с предобученной сетью включено по требованию медицинского рецензента.</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VI. ДИНАМИКА ОБУЧЕНИЯ, 15 ЭПОХ</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6"/>
              </w:rPr>
              <w:t>Архитектура</w:t>
            </w:r>
          </w:p>
        </w:tc>
        <w:tc>
          <w:tcPr>
            <w:tcW w:type="dxa" w:w="2340"/>
          </w:tcPr>
          <w:p>
            <w:r/>
            <w:r>
              <w:rPr>
                <w:rFonts w:ascii="Times New Roman" w:hAnsi="Times New Roman" w:eastAsia="Times New Roman"/>
                <w:b/>
                <w:sz w:val="16"/>
              </w:rPr>
              <w:t>Макс. Dice</w:t>
            </w:r>
          </w:p>
        </w:tc>
        <w:tc>
          <w:tcPr>
            <w:tcW w:type="dxa" w:w="2340"/>
          </w:tcPr>
          <w:p>
            <w:r/>
            <w:r>
              <w:rPr>
                <w:rFonts w:ascii="Times New Roman" w:hAnsi="Times New Roman" w:eastAsia="Times New Roman"/>
                <w:b/>
                <w:sz w:val="16"/>
              </w:rPr>
              <w:t>Эпоха max</w:t>
            </w:r>
          </w:p>
        </w:tc>
        <w:tc>
          <w:tcPr>
            <w:tcW w:type="dxa" w:w="2340"/>
          </w:tcPr>
          <w:p>
            <w:r/>
            <w:r>
              <w:rPr>
                <w:rFonts w:ascii="Times New Roman" w:hAnsi="Times New Roman" w:eastAsia="Times New Roman"/>
                <w:b/>
                <w:sz w:val="16"/>
              </w:rPr>
              <w:t>Переобуч.</w:t>
            </w:r>
          </w:p>
        </w:tc>
      </w:tr>
      <w:tr>
        <w:tc>
          <w:tcPr>
            <w:tcW w:type="dxa" w:w="2340"/>
          </w:tcPr>
          <w:p>
            <w:r/>
            <w:r>
              <w:rPr>
                <w:rFonts w:ascii="Times New Roman" w:hAnsi="Times New Roman" w:eastAsia="Times New Roman"/>
                <w:sz w:val="16"/>
              </w:rPr>
              <w:t>U-Net (базовый)</w:t>
            </w:r>
          </w:p>
        </w:tc>
        <w:tc>
          <w:tcPr>
            <w:tcW w:type="dxa" w:w="2340"/>
          </w:tcPr>
          <w:p>
            <w:r/>
            <w:r>
              <w:rPr>
                <w:rFonts w:ascii="Times New Roman" w:hAnsi="Times New Roman" w:eastAsia="Times New Roman"/>
                <w:sz w:val="16"/>
              </w:rPr>
              <w:t>0,752</w:t>
            </w:r>
          </w:p>
        </w:tc>
        <w:tc>
          <w:tcPr>
            <w:tcW w:type="dxa" w:w="2340"/>
          </w:tcPr>
          <w:p>
            <w:r/>
            <w:r>
              <w:rPr>
                <w:rFonts w:ascii="Times New Roman" w:hAnsi="Times New Roman" w:eastAsia="Times New Roman"/>
                <w:sz w:val="16"/>
              </w:rPr>
              <w:t>2</w:t>
            </w:r>
          </w:p>
        </w:tc>
        <w:tc>
          <w:tcPr>
            <w:tcW w:type="dxa" w:w="2340"/>
          </w:tcPr>
          <w:p>
            <w:r/>
            <w:r>
              <w:rPr>
                <w:rFonts w:ascii="Times New Roman" w:hAnsi="Times New Roman" w:eastAsia="Times New Roman"/>
                <w:sz w:val="16"/>
              </w:rPr>
              <w:t>3</w:t>
            </w:r>
          </w:p>
        </w:tc>
      </w:tr>
      <w:tr>
        <w:tc>
          <w:tcPr>
            <w:tcW w:type="dxa" w:w="2340"/>
          </w:tcPr>
          <w:p>
            <w:r/>
            <w:r>
              <w:rPr>
                <w:rFonts w:ascii="Times New Roman" w:hAnsi="Times New Roman" w:eastAsia="Times New Roman"/>
                <w:sz w:val="16"/>
              </w:rPr>
              <w:t>Plain encoder-decoder (без skip)</w:t>
            </w:r>
          </w:p>
        </w:tc>
        <w:tc>
          <w:tcPr>
            <w:tcW w:type="dxa" w:w="2340"/>
          </w:tcPr>
          <w:p>
            <w:r/>
            <w:r>
              <w:rPr>
                <w:rFonts w:ascii="Times New Roman" w:hAnsi="Times New Roman" w:eastAsia="Times New Roman"/>
                <w:sz w:val="16"/>
              </w:rPr>
              <w:t>0,672</w:t>
            </w:r>
          </w:p>
        </w:tc>
        <w:tc>
          <w:tcPr>
            <w:tcW w:type="dxa" w:w="2340"/>
          </w:tcPr>
          <w:p>
            <w:r/>
            <w:r>
              <w:rPr>
                <w:rFonts w:ascii="Times New Roman" w:hAnsi="Times New Roman" w:eastAsia="Times New Roman"/>
                <w:sz w:val="16"/>
              </w:rPr>
              <w:t>10</w:t>
            </w:r>
          </w:p>
        </w:tc>
        <w:tc>
          <w:tcPr>
            <w:tcW w:type="dxa" w:w="2340"/>
          </w:tcPr>
          <w:p>
            <w:r/>
            <w:r>
              <w:rPr>
                <w:rFonts w:ascii="Times New Roman" w:hAnsi="Times New Roman" w:eastAsia="Times New Roman"/>
                <w:sz w:val="16"/>
              </w:rPr>
              <w:t>11</w:t>
            </w:r>
          </w:p>
        </w:tc>
      </w:tr>
      <w:tr>
        <w:tc>
          <w:tcPr>
            <w:tcW w:type="dxa" w:w="2340"/>
          </w:tcPr>
          <w:p>
            <w:r/>
            <w:r>
              <w:rPr>
                <w:rFonts w:ascii="Times New Roman" w:hAnsi="Times New Roman" w:eastAsia="Times New Roman"/>
                <w:sz w:val="16"/>
              </w:rPr>
              <w:t>Residual U-Net</w:t>
            </w:r>
          </w:p>
        </w:tc>
        <w:tc>
          <w:tcPr>
            <w:tcW w:type="dxa" w:w="2340"/>
          </w:tcPr>
          <w:p>
            <w:r/>
            <w:r>
              <w:rPr>
                <w:rFonts w:ascii="Times New Roman" w:hAnsi="Times New Roman" w:eastAsia="Times New Roman"/>
                <w:sz w:val="16"/>
              </w:rPr>
              <w:t>0,710</w:t>
            </w:r>
          </w:p>
        </w:tc>
        <w:tc>
          <w:tcPr>
            <w:tcW w:type="dxa" w:w="2340"/>
          </w:tcPr>
          <w:p>
            <w:r/>
            <w:r>
              <w:rPr>
                <w:rFonts w:ascii="Times New Roman" w:hAnsi="Times New Roman" w:eastAsia="Times New Roman"/>
                <w:sz w:val="16"/>
              </w:rPr>
              <w:t>12</w:t>
            </w:r>
          </w:p>
        </w:tc>
        <w:tc>
          <w:tcPr>
            <w:tcW w:type="dxa" w:w="2340"/>
          </w:tcPr>
          <w:p>
            <w:r/>
            <w:r>
              <w:rPr>
                <w:rFonts w:ascii="Times New Roman" w:hAnsi="Times New Roman" w:eastAsia="Times New Roman"/>
                <w:sz w:val="16"/>
              </w:rPr>
              <w:t>13</w:t>
            </w:r>
          </w:p>
        </w:tc>
      </w:tr>
      <w:tr>
        <w:tc>
          <w:tcPr>
            <w:tcW w:type="dxa" w:w="2340"/>
          </w:tcPr>
          <w:p>
            <w:r/>
            <w:r>
              <w:rPr>
                <w:rFonts w:ascii="Times New Roman" w:hAnsi="Times New Roman" w:eastAsia="Times New Roman"/>
                <w:sz w:val="16"/>
              </w:rPr>
              <w:t>Attention U-Net</w:t>
            </w:r>
          </w:p>
        </w:tc>
        <w:tc>
          <w:tcPr>
            <w:tcW w:type="dxa" w:w="2340"/>
          </w:tcPr>
          <w:p>
            <w:r/>
            <w:r>
              <w:rPr>
                <w:rFonts w:ascii="Times New Roman" w:hAnsi="Times New Roman" w:eastAsia="Times New Roman"/>
                <w:sz w:val="16"/>
              </w:rPr>
              <w:t>0,719</w:t>
            </w:r>
          </w:p>
        </w:tc>
        <w:tc>
          <w:tcPr>
            <w:tcW w:type="dxa" w:w="2340"/>
          </w:tcPr>
          <w:p>
            <w:r/>
            <w:r>
              <w:rPr>
                <w:rFonts w:ascii="Times New Roman" w:hAnsi="Times New Roman" w:eastAsia="Times New Roman"/>
                <w:sz w:val="16"/>
              </w:rPr>
              <w:t>2</w:t>
            </w:r>
          </w:p>
        </w:tc>
        <w:tc>
          <w:tcPr>
            <w:tcW w:type="dxa" w:w="2340"/>
          </w:tcPr>
          <w:p>
            <w:r/>
            <w:r>
              <w:rPr>
                <w:rFonts w:ascii="Times New Roman" w:hAnsi="Times New Roman" w:eastAsia="Times New Roman"/>
                <w:sz w:val="16"/>
              </w:rPr>
              <w:t>3</w:t>
            </w:r>
          </w:p>
        </w:tc>
      </w:tr>
      <w:tr>
        <w:tc>
          <w:tcPr>
            <w:tcW w:type="dxa" w:w="2340"/>
          </w:tcPr>
          <w:p>
            <w:r/>
            <w:r>
              <w:rPr>
                <w:rFonts w:ascii="Times New Roman" w:hAnsi="Times New Roman" w:eastAsia="Times New Roman"/>
                <w:sz w:val="16"/>
              </w:rPr>
              <w:t>SegNet</w:t>
            </w:r>
          </w:p>
        </w:tc>
        <w:tc>
          <w:tcPr>
            <w:tcW w:type="dxa" w:w="2340"/>
          </w:tcPr>
          <w:p>
            <w:r/>
            <w:r>
              <w:rPr>
                <w:rFonts w:ascii="Times New Roman" w:hAnsi="Times New Roman" w:eastAsia="Times New Roman"/>
                <w:sz w:val="16"/>
              </w:rPr>
              <w:t>0,674</w:t>
            </w:r>
          </w:p>
        </w:tc>
        <w:tc>
          <w:tcPr>
            <w:tcW w:type="dxa" w:w="2340"/>
          </w:tcPr>
          <w:p>
            <w:r/>
            <w:r>
              <w:rPr>
                <w:rFonts w:ascii="Times New Roman" w:hAnsi="Times New Roman" w:eastAsia="Times New Roman"/>
                <w:sz w:val="16"/>
              </w:rPr>
              <w:t>13</w:t>
            </w:r>
          </w:p>
        </w:tc>
        <w:tc>
          <w:tcPr>
            <w:tcW w:type="dxa" w:w="2340"/>
          </w:tcPr>
          <w:p>
            <w:r/>
            <w:r>
              <w:rPr>
                <w:rFonts w:ascii="Times New Roman" w:hAnsi="Times New Roman" w:eastAsia="Times New Roman"/>
                <w:sz w:val="16"/>
              </w:rPr>
              <w:t>14</w:t>
            </w:r>
          </w:p>
        </w:tc>
      </w:tr>
      <w:tr>
        <w:tc>
          <w:tcPr>
            <w:tcW w:type="dxa" w:w="2340"/>
          </w:tcPr>
          <w:p>
            <w:r/>
            <w:r>
              <w:rPr>
                <w:rFonts w:ascii="Times New Roman" w:hAnsi="Times New Roman" w:eastAsia="Times New Roman"/>
                <w:sz w:val="16"/>
              </w:rPr>
              <w:t>FCN-8s</w:t>
            </w:r>
          </w:p>
        </w:tc>
        <w:tc>
          <w:tcPr>
            <w:tcW w:type="dxa" w:w="2340"/>
          </w:tcPr>
          <w:p>
            <w:r/>
            <w:r>
              <w:rPr>
                <w:rFonts w:ascii="Times New Roman" w:hAnsi="Times New Roman" w:eastAsia="Times New Roman"/>
                <w:sz w:val="16"/>
              </w:rPr>
              <w:t>0,741</w:t>
            </w:r>
          </w:p>
        </w:tc>
        <w:tc>
          <w:tcPr>
            <w:tcW w:type="dxa" w:w="2340"/>
          </w:tcPr>
          <w:p>
            <w:r/>
            <w:r>
              <w:rPr>
                <w:rFonts w:ascii="Times New Roman" w:hAnsi="Times New Roman" w:eastAsia="Times New Roman"/>
                <w:sz w:val="16"/>
              </w:rPr>
              <w:t>12</w:t>
            </w:r>
          </w:p>
        </w:tc>
        <w:tc>
          <w:tcPr>
            <w:tcW w:type="dxa" w:w="2340"/>
          </w:tcPr>
          <w:p>
            <w:r/>
            <w:r>
              <w:rPr>
                <w:rFonts w:ascii="Times New Roman" w:hAnsi="Times New Roman" w:eastAsia="Times New Roman"/>
                <w:sz w:val="16"/>
              </w:rPr>
              <w:t>13</w:t>
            </w:r>
          </w:p>
        </w:tc>
      </w:tr>
      <w:tr>
        <w:tc>
          <w:tcPr>
            <w:tcW w:type="dxa" w:w="2340"/>
          </w:tcPr>
          <w:p>
            <w:r/>
            <w:r>
              <w:rPr>
                <w:rFonts w:ascii="Times New Roman" w:hAnsi="Times New Roman" w:eastAsia="Times New Roman"/>
                <w:sz w:val="16"/>
              </w:rPr>
              <w:t>MultiResUNet</w:t>
            </w:r>
          </w:p>
        </w:tc>
        <w:tc>
          <w:tcPr>
            <w:tcW w:type="dxa" w:w="2340"/>
          </w:tcPr>
          <w:p>
            <w:r/>
            <w:r>
              <w:rPr>
                <w:rFonts w:ascii="Times New Roman" w:hAnsi="Times New Roman" w:eastAsia="Times New Roman"/>
                <w:sz w:val="16"/>
              </w:rPr>
              <w:t>0,738</w:t>
            </w:r>
          </w:p>
        </w:tc>
        <w:tc>
          <w:tcPr>
            <w:tcW w:type="dxa" w:w="2340"/>
          </w:tcPr>
          <w:p>
            <w:r/>
            <w:r>
              <w:rPr>
                <w:rFonts w:ascii="Times New Roman" w:hAnsi="Times New Roman" w:eastAsia="Times New Roman"/>
                <w:sz w:val="16"/>
              </w:rPr>
              <w:t>15</w:t>
            </w:r>
          </w:p>
        </w:tc>
        <w:tc>
          <w:tcPr>
            <w:tcW w:type="dxa" w:w="2340"/>
          </w:tcPr>
          <w:p>
            <w:r/>
            <w:r>
              <w:rPr>
                <w:rFonts w:ascii="Times New Roman" w:hAnsi="Times New Roman" w:eastAsia="Times New Roman"/>
                <w:sz w:val="16"/>
              </w:rPr>
              <w:t>не набл.</w:t>
            </w:r>
          </w:p>
        </w:tc>
      </w:tr>
      <w:tr>
        <w:tc>
          <w:tcPr>
            <w:tcW w:type="dxa" w:w="2340"/>
          </w:tcPr>
          <w:p>
            <w:r/>
            <w:r>
              <w:rPr>
                <w:rFonts w:ascii="Times New Roman" w:hAnsi="Times New Roman" w:eastAsia="Times New Roman"/>
                <w:sz w:val="16"/>
              </w:rPr>
              <w:t>DeepLabV3+ (lite)</w:t>
            </w:r>
          </w:p>
        </w:tc>
        <w:tc>
          <w:tcPr>
            <w:tcW w:type="dxa" w:w="2340"/>
          </w:tcPr>
          <w:p>
            <w:r/>
            <w:r>
              <w:rPr>
                <w:rFonts w:ascii="Times New Roman" w:hAnsi="Times New Roman" w:eastAsia="Times New Roman"/>
                <w:sz w:val="16"/>
              </w:rPr>
              <w:t>0,747</w:t>
            </w:r>
          </w:p>
        </w:tc>
        <w:tc>
          <w:tcPr>
            <w:tcW w:type="dxa" w:w="2340"/>
          </w:tcPr>
          <w:p>
            <w:r/>
            <w:r>
              <w:rPr>
                <w:rFonts w:ascii="Times New Roman" w:hAnsi="Times New Roman" w:eastAsia="Times New Roman"/>
                <w:sz w:val="16"/>
              </w:rPr>
              <w:t>11</w:t>
            </w:r>
          </w:p>
        </w:tc>
        <w:tc>
          <w:tcPr>
            <w:tcW w:type="dxa" w:w="2340"/>
          </w:tcPr>
          <w:p>
            <w:r/>
            <w:r>
              <w:rPr>
                <w:rFonts w:ascii="Times New Roman" w:hAnsi="Times New Roman" w:eastAsia="Times New Roman"/>
                <w:sz w:val="16"/>
              </w:rPr>
              <w:t>12</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6400800" cy="8178800"/>
            <wp:docPr id="8" name="Picture 8"/>
            <wp:cNvGraphicFramePr>
              <a:graphicFrameLocks noChangeAspect="1"/>
            </wp:cNvGraphicFramePr>
            <a:graphic>
              <a:graphicData uri="http://schemas.openxmlformats.org/drawingml/2006/picture">
                <pic:pic>
                  <pic:nvPicPr>
                    <pic:cNvPr id="0" name="article4_unet_chart_overfitting.png"/>
                    <pic:cNvPicPr/>
                  </pic:nvPicPr>
                  <pic:blipFill>
                    <a:blip r:embed="rId16"/>
                    <a:stretch>
                      <a:fillRect/>
                    </a:stretch>
                  </pic:blipFill>
                  <pic:spPr>
                    <a:xfrm>
                      <a:off x="0" y="0"/>
                      <a:ext cx="6400800" cy="8178800"/>
                    </a:xfrm>
                    <a:prstGeom prst="rect"/>
                  </pic:spPr>
                </pic:pic>
              </a:graphicData>
            </a:graphic>
          </wp:inline>
        </w:drawing>
      </w:r>
    </w:p>
    <w:p>
      <w:pPr>
        <w:jc w:val="center"/>
      </w:pPr>
      <w:r>
        <w:rPr>
          <w:rFonts w:ascii="Times New Roman" w:hAnsi="Times New Roman" w:eastAsia="Times New Roman"/>
          <w:sz w:val="16"/>
        </w:rPr>
        <w:t>Рис. 8. Кривые train/test Dice по эпохам для восьми архитектур.</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После добавления нормализации по батчу ни одна из девяти архитектур не показала полного коллапса (до этого обучение было нестабильным независимо от архитектуры). Кривые test-Dice шумные для части сетей — ранний «пик» правдоподобнее объясняется выбросом, а не истинным оптимумом обобщения.</w:t>
      </w:r>
    </w:p>
    <w:p>
      <w:pPr>
        <w:spacing w:before="160" w:after="60"/>
      </w:pPr>
      <w:r>
        <w:rPr>
          <w:rFonts w:ascii="Times New Roman" w:hAnsi="Times New Roman" w:eastAsia="Times New Roman"/>
          <w:b/>
          <w:i/>
          <w:sz w:val="18"/>
        </w:rPr>
        <w:t>D. Устойчивость по нескольким разбиениям</w:t>
      </w:r>
    </w:p>
    <w:p>
      <w:r>
        <w:rPr>
          <w:rFonts w:ascii="Times New Roman" w:hAnsi="Times New Roman" w:eastAsia="Times New Roman"/>
          <w:b w:val="0"/>
          <w:i w:val="0"/>
          <w:sz w:val="18"/>
        </w:rPr>
        <w:t>По требованию медицинского рецензента базовая модель обучена заново на 5 независимых случайных разбиениях по пациентам.</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VII. DICE (С ОПУХОЛЬЮ) ПО 5 НЕЗАВИСИМЫМ РАЗБИЕНИЯМ</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sz w:val="16"/>
              </w:rPr>
              <w:t>Seed</w:t>
            </w:r>
          </w:p>
        </w:tc>
        <w:tc>
          <w:tcPr>
            <w:tcW w:type="dxa" w:w="1560"/>
          </w:tcPr>
          <w:p>
            <w:r/>
            <w:r>
              <w:rPr>
                <w:rFonts w:ascii="Times New Roman" w:hAnsi="Times New Roman" w:eastAsia="Times New Roman"/>
                <w:b/>
                <w:sz w:val="16"/>
              </w:rPr>
              <w:t>Без контекста</w:t>
            </w:r>
          </w:p>
        </w:tc>
        <w:tc>
          <w:tcPr>
            <w:tcW w:type="dxa" w:w="1560"/>
          </w:tcPr>
          <w:p>
            <w:r/>
            <w:r>
              <w:rPr>
                <w:rFonts w:ascii="Times New Roman" w:hAnsi="Times New Roman" w:eastAsia="Times New Roman"/>
                <w:b/>
                <w:sz w:val="16"/>
              </w:rPr>
              <w:t>Физич. соседи</w:t>
            </w:r>
          </w:p>
        </w:tc>
        <w:tc>
          <w:tcPr>
            <w:tcW w:type="dxa" w:w="1560"/>
          </w:tcPr>
          <w:p>
            <w:r/>
            <w:r>
              <w:rPr>
                <w:rFonts w:ascii="Times New Roman" w:hAnsi="Times New Roman" w:eastAsia="Times New Roman"/>
                <w:b/>
                <w:sz w:val="16"/>
              </w:rPr>
              <w:t>Случ. «соседи»</w:t>
            </w:r>
          </w:p>
        </w:tc>
        <w:tc>
          <w:tcPr>
            <w:tcW w:type="dxa" w:w="1560"/>
          </w:tcPr>
          <w:p>
            <w:r/>
            <w:r>
              <w:rPr>
                <w:rFonts w:ascii="Times New Roman" w:hAnsi="Times New Roman" w:eastAsia="Times New Roman"/>
                <w:b/>
                <w:sz w:val="16"/>
              </w:rPr>
              <w:t>H1</w:t>
            </w:r>
          </w:p>
        </w:tc>
        <w:tc>
          <w:tcPr>
            <w:tcW w:type="dxa" w:w="1560"/>
          </w:tcPr>
          <w:p>
            <w:r/>
            <w:r>
              <w:rPr>
                <w:rFonts w:ascii="Times New Roman" w:hAnsi="Times New Roman" w:eastAsia="Times New Roman"/>
                <w:b/>
                <w:sz w:val="16"/>
              </w:rPr>
              <w:t>H2</w:t>
            </w:r>
          </w:p>
        </w:tc>
      </w:tr>
      <w:tr>
        <w:tc>
          <w:tcPr>
            <w:tcW w:type="dxa" w:w="1560"/>
          </w:tcPr>
          <w:p>
            <w:r/>
            <w:r>
              <w:rPr>
                <w:rFonts w:ascii="Times New Roman" w:hAnsi="Times New Roman" w:eastAsia="Times New Roman"/>
                <w:sz w:val="16"/>
              </w:rPr>
              <w:t>42</w:t>
            </w:r>
          </w:p>
        </w:tc>
        <w:tc>
          <w:tcPr>
            <w:tcW w:type="dxa" w:w="1560"/>
          </w:tcPr>
          <w:p>
            <w:r/>
            <w:r>
              <w:rPr>
                <w:rFonts w:ascii="Times New Roman" w:hAnsi="Times New Roman" w:eastAsia="Times New Roman"/>
                <w:sz w:val="16"/>
              </w:rPr>
              <w:t>0,676</w:t>
            </w:r>
          </w:p>
        </w:tc>
        <w:tc>
          <w:tcPr>
            <w:tcW w:type="dxa" w:w="1560"/>
          </w:tcPr>
          <w:p>
            <w:r/>
            <w:r>
              <w:rPr>
                <w:rFonts w:ascii="Times New Roman" w:hAnsi="Times New Roman" w:eastAsia="Times New Roman"/>
                <w:sz w:val="16"/>
              </w:rPr>
              <w:t>0,625</w:t>
            </w:r>
          </w:p>
        </w:tc>
        <w:tc>
          <w:tcPr>
            <w:tcW w:type="dxa" w:w="1560"/>
          </w:tcPr>
          <w:p>
            <w:r/>
            <w:r>
              <w:rPr>
                <w:rFonts w:ascii="Times New Roman" w:hAnsi="Times New Roman" w:eastAsia="Times New Roman"/>
                <w:sz w:val="16"/>
              </w:rPr>
              <w:t>0,041</w:t>
            </w:r>
          </w:p>
        </w:tc>
        <w:tc>
          <w:tcPr>
            <w:tcW w:type="dxa" w:w="1560"/>
          </w:tcPr>
          <w:p>
            <w:r/>
            <w:r>
              <w:rPr>
                <w:rFonts w:ascii="Times New Roman" w:hAnsi="Times New Roman" w:eastAsia="Times New Roman"/>
                <w:sz w:val="16"/>
              </w:rPr>
              <w:t>False</w:t>
            </w:r>
          </w:p>
        </w:tc>
        <w:tc>
          <w:tcPr>
            <w:tcW w:type="dxa" w:w="1560"/>
          </w:tcPr>
          <w:p>
            <w:r/>
            <w:r>
              <w:rPr>
                <w:rFonts w:ascii="Times New Roman" w:hAnsi="Times New Roman" w:eastAsia="Times New Roman"/>
                <w:sz w:val="16"/>
              </w:rPr>
              <w:t>True</w:t>
            </w:r>
          </w:p>
        </w:tc>
      </w:tr>
      <w:tr>
        <w:tc>
          <w:tcPr>
            <w:tcW w:type="dxa" w:w="1560"/>
          </w:tcPr>
          <w:p>
            <w:r/>
            <w:r>
              <w:rPr>
                <w:rFonts w:ascii="Times New Roman" w:hAnsi="Times New Roman" w:eastAsia="Times New Roman"/>
                <w:sz w:val="16"/>
              </w:rPr>
              <w:t>101</w:t>
            </w:r>
          </w:p>
        </w:tc>
        <w:tc>
          <w:tcPr>
            <w:tcW w:type="dxa" w:w="1560"/>
          </w:tcPr>
          <w:p>
            <w:r/>
            <w:r>
              <w:rPr>
                <w:rFonts w:ascii="Times New Roman" w:hAnsi="Times New Roman" w:eastAsia="Times New Roman"/>
                <w:sz w:val="16"/>
              </w:rPr>
              <w:t>0,547</w:t>
            </w:r>
          </w:p>
        </w:tc>
        <w:tc>
          <w:tcPr>
            <w:tcW w:type="dxa" w:w="1560"/>
          </w:tcPr>
          <w:p>
            <w:r/>
            <w:r>
              <w:rPr>
                <w:rFonts w:ascii="Times New Roman" w:hAnsi="Times New Roman" w:eastAsia="Times New Roman"/>
                <w:sz w:val="16"/>
              </w:rPr>
              <w:t>0,668</w:t>
            </w:r>
          </w:p>
        </w:tc>
        <w:tc>
          <w:tcPr>
            <w:tcW w:type="dxa" w:w="1560"/>
          </w:tcPr>
          <w:p>
            <w:r/>
            <w:r>
              <w:rPr>
                <w:rFonts w:ascii="Times New Roman" w:hAnsi="Times New Roman" w:eastAsia="Times New Roman"/>
                <w:sz w:val="16"/>
              </w:rPr>
              <w:t>0,066</w:t>
            </w:r>
          </w:p>
        </w:tc>
        <w:tc>
          <w:tcPr>
            <w:tcW w:type="dxa" w:w="1560"/>
          </w:tcPr>
          <w:p>
            <w:r/>
            <w:r>
              <w:rPr>
                <w:rFonts w:ascii="Times New Roman" w:hAnsi="Times New Roman" w:eastAsia="Times New Roman"/>
                <w:sz w:val="16"/>
              </w:rPr>
              <w:t>True</w:t>
            </w:r>
          </w:p>
        </w:tc>
        <w:tc>
          <w:tcPr>
            <w:tcW w:type="dxa" w:w="1560"/>
          </w:tcPr>
          <w:p>
            <w:r/>
            <w:r>
              <w:rPr>
                <w:rFonts w:ascii="Times New Roman" w:hAnsi="Times New Roman" w:eastAsia="Times New Roman"/>
                <w:sz w:val="16"/>
              </w:rPr>
              <w:t>True</w:t>
            </w:r>
          </w:p>
        </w:tc>
      </w:tr>
      <w:tr>
        <w:tc>
          <w:tcPr>
            <w:tcW w:type="dxa" w:w="1560"/>
          </w:tcPr>
          <w:p>
            <w:r/>
            <w:r>
              <w:rPr>
                <w:rFonts w:ascii="Times New Roman" w:hAnsi="Times New Roman" w:eastAsia="Times New Roman"/>
                <w:sz w:val="16"/>
              </w:rPr>
              <w:t>202</w:t>
            </w:r>
          </w:p>
        </w:tc>
        <w:tc>
          <w:tcPr>
            <w:tcW w:type="dxa" w:w="1560"/>
          </w:tcPr>
          <w:p>
            <w:r/>
            <w:r>
              <w:rPr>
                <w:rFonts w:ascii="Times New Roman" w:hAnsi="Times New Roman" w:eastAsia="Times New Roman"/>
                <w:sz w:val="16"/>
              </w:rPr>
              <w:t>0,558</w:t>
            </w:r>
          </w:p>
        </w:tc>
        <w:tc>
          <w:tcPr>
            <w:tcW w:type="dxa" w:w="1560"/>
          </w:tcPr>
          <w:p>
            <w:r/>
            <w:r>
              <w:rPr>
                <w:rFonts w:ascii="Times New Roman" w:hAnsi="Times New Roman" w:eastAsia="Times New Roman"/>
                <w:sz w:val="16"/>
              </w:rPr>
              <w:t>0,633</w:t>
            </w:r>
          </w:p>
        </w:tc>
        <w:tc>
          <w:tcPr>
            <w:tcW w:type="dxa" w:w="1560"/>
          </w:tcPr>
          <w:p>
            <w:r/>
            <w:r>
              <w:rPr>
                <w:rFonts w:ascii="Times New Roman" w:hAnsi="Times New Roman" w:eastAsia="Times New Roman"/>
                <w:sz w:val="16"/>
              </w:rPr>
              <w:t>0,052</w:t>
            </w:r>
          </w:p>
        </w:tc>
        <w:tc>
          <w:tcPr>
            <w:tcW w:type="dxa" w:w="1560"/>
          </w:tcPr>
          <w:p>
            <w:r/>
            <w:r>
              <w:rPr>
                <w:rFonts w:ascii="Times New Roman" w:hAnsi="Times New Roman" w:eastAsia="Times New Roman"/>
                <w:sz w:val="16"/>
              </w:rPr>
              <w:t>True</w:t>
            </w:r>
          </w:p>
        </w:tc>
        <w:tc>
          <w:tcPr>
            <w:tcW w:type="dxa" w:w="1560"/>
          </w:tcPr>
          <w:p>
            <w:r/>
            <w:r>
              <w:rPr>
                <w:rFonts w:ascii="Times New Roman" w:hAnsi="Times New Roman" w:eastAsia="Times New Roman"/>
                <w:sz w:val="16"/>
              </w:rPr>
              <w:t>True</w:t>
            </w:r>
          </w:p>
        </w:tc>
      </w:tr>
      <w:tr>
        <w:tc>
          <w:tcPr>
            <w:tcW w:type="dxa" w:w="1560"/>
          </w:tcPr>
          <w:p>
            <w:r/>
            <w:r>
              <w:rPr>
                <w:rFonts w:ascii="Times New Roman" w:hAnsi="Times New Roman" w:eastAsia="Times New Roman"/>
                <w:sz w:val="16"/>
              </w:rPr>
              <w:t>303</w:t>
            </w:r>
          </w:p>
        </w:tc>
        <w:tc>
          <w:tcPr>
            <w:tcW w:type="dxa" w:w="1560"/>
          </w:tcPr>
          <w:p>
            <w:r/>
            <w:r>
              <w:rPr>
                <w:rFonts w:ascii="Times New Roman" w:hAnsi="Times New Roman" w:eastAsia="Times New Roman"/>
                <w:sz w:val="16"/>
              </w:rPr>
              <w:t>0,677</w:t>
            </w:r>
          </w:p>
        </w:tc>
        <w:tc>
          <w:tcPr>
            <w:tcW w:type="dxa" w:w="1560"/>
          </w:tcPr>
          <w:p>
            <w:r/>
            <w:r>
              <w:rPr>
                <w:rFonts w:ascii="Times New Roman" w:hAnsi="Times New Roman" w:eastAsia="Times New Roman"/>
                <w:sz w:val="16"/>
              </w:rPr>
              <w:t>0,691</w:t>
            </w:r>
          </w:p>
        </w:tc>
        <w:tc>
          <w:tcPr>
            <w:tcW w:type="dxa" w:w="1560"/>
          </w:tcPr>
          <w:p>
            <w:r/>
            <w:r>
              <w:rPr>
                <w:rFonts w:ascii="Times New Roman" w:hAnsi="Times New Roman" w:eastAsia="Times New Roman"/>
                <w:sz w:val="16"/>
              </w:rPr>
              <w:t>0,200</w:t>
            </w:r>
          </w:p>
        </w:tc>
        <w:tc>
          <w:tcPr>
            <w:tcW w:type="dxa" w:w="1560"/>
          </w:tcPr>
          <w:p>
            <w:r/>
            <w:r>
              <w:rPr>
                <w:rFonts w:ascii="Times New Roman" w:hAnsi="Times New Roman" w:eastAsia="Times New Roman"/>
                <w:sz w:val="16"/>
              </w:rPr>
              <w:t>True</w:t>
            </w:r>
          </w:p>
        </w:tc>
        <w:tc>
          <w:tcPr>
            <w:tcW w:type="dxa" w:w="1560"/>
          </w:tcPr>
          <w:p>
            <w:r/>
            <w:r>
              <w:rPr>
                <w:rFonts w:ascii="Times New Roman" w:hAnsi="Times New Roman" w:eastAsia="Times New Roman"/>
                <w:sz w:val="16"/>
              </w:rPr>
              <w:t>True</w:t>
            </w:r>
          </w:p>
        </w:tc>
      </w:tr>
      <w:tr>
        <w:tc>
          <w:tcPr>
            <w:tcW w:type="dxa" w:w="1560"/>
          </w:tcPr>
          <w:p>
            <w:r/>
            <w:r>
              <w:rPr>
                <w:rFonts w:ascii="Times New Roman" w:hAnsi="Times New Roman" w:eastAsia="Times New Roman"/>
                <w:sz w:val="16"/>
              </w:rPr>
              <w:t>404</w:t>
            </w:r>
          </w:p>
        </w:tc>
        <w:tc>
          <w:tcPr>
            <w:tcW w:type="dxa" w:w="1560"/>
          </w:tcPr>
          <w:p>
            <w:r/>
            <w:r>
              <w:rPr>
                <w:rFonts w:ascii="Times New Roman" w:hAnsi="Times New Roman" w:eastAsia="Times New Roman"/>
                <w:sz w:val="16"/>
              </w:rPr>
              <w:t>0,480</w:t>
            </w:r>
          </w:p>
        </w:tc>
        <w:tc>
          <w:tcPr>
            <w:tcW w:type="dxa" w:w="1560"/>
          </w:tcPr>
          <w:p>
            <w:r/>
            <w:r>
              <w:rPr>
                <w:rFonts w:ascii="Times New Roman" w:hAnsi="Times New Roman" w:eastAsia="Times New Roman"/>
                <w:sz w:val="16"/>
              </w:rPr>
              <w:t>0,542</w:t>
            </w:r>
          </w:p>
        </w:tc>
        <w:tc>
          <w:tcPr>
            <w:tcW w:type="dxa" w:w="1560"/>
          </w:tcPr>
          <w:p>
            <w:r/>
            <w:r>
              <w:rPr>
                <w:rFonts w:ascii="Times New Roman" w:hAnsi="Times New Roman" w:eastAsia="Times New Roman"/>
                <w:sz w:val="16"/>
              </w:rPr>
              <w:t>0,076</w:t>
            </w:r>
          </w:p>
        </w:tc>
        <w:tc>
          <w:tcPr>
            <w:tcW w:type="dxa" w:w="1560"/>
          </w:tcPr>
          <w:p>
            <w:r/>
            <w:r>
              <w:rPr>
                <w:rFonts w:ascii="Times New Roman" w:hAnsi="Times New Roman" w:eastAsia="Times New Roman"/>
                <w:sz w:val="16"/>
              </w:rPr>
              <w:t>True</w:t>
            </w:r>
          </w:p>
        </w:tc>
        <w:tc>
          <w:tcPr>
            <w:tcW w:type="dxa" w:w="1560"/>
          </w:tcPr>
          <w:p>
            <w:r/>
            <w:r>
              <w:rPr>
                <w:rFonts w:ascii="Times New Roman" w:hAnsi="Times New Roman" w:eastAsia="Times New Roman"/>
                <w:sz w:val="16"/>
              </w:rPr>
              <w:t>True</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943600" cy="2899317"/>
            <wp:docPr id="9" name="Picture 9"/>
            <wp:cNvGraphicFramePr>
              <a:graphicFrameLocks noChangeAspect="1"/>
            </wp:cNvGraphicFramePr>
            <a:graphic>
              <a:graphicData uri="http://schemas.openxmlformats.org/drawingml/2006/picture">
                <pic:pic>
                  <pic:nvPicPr>
                    <pic:cNvPr id="0" name="article4_unet_chart_multi_split.png"/>
                    <pic:cNvPicPr/>
                  </pic:nvPicPr>
                  <pic:blipFill>
                    <a:blip r:embed="rId17"/>
                    <a:stretch>
                      <a:fillRect/>
                    </a:stretch>
                  </pic:blipFill>
                  <pic:spPr>
                    <a:xfrm>
                      <a:off x="0" y="0"/>
                      <a:ext cx="5943600" cy="2899317"/>
                    </a:xfrm>
                    <a:prstGeom prst="rect"/>
                  </pic:spPr>
                </pic:pic>
              </a:graphicData>
            </a:graphic>
          </wp:inline>
        </w:drawing>
      </w:r>
    </w:p>
    <w:p>
      <w:pPr>
        <w:jc w:val="center"/>
      </w:pPr>
      <w:r>
        <w:rPr>
          <w:rFonts w:ascii="Times New Roman" w:hAnsi="Times New Roman" w:eastAsia="Times New Roman"/>
          <w:sz w:val="16"/>
        </w:rPr>
        <w:t>Рис. 9. Dice по 5 независимым разбиениям train/test.</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H1 подтверждена на 4 из 5 разбиений, H2 — на 5 из 5. Среднее: физические соседи 63,2% ± 5,1 п.п. против 58,7% ± 7,7 п.п. без контекста. Важно: единственное разбиение, на котором H1 не подтвердилась — seed=42, использованный во всех остальных одиночных экспериментах разделов A–C этой статьи; разброс между разбиениями того же порядка, что и сам эффект.</w:t>
      </w:r>
    </w:p>
    <w:p>
      <w:pPr>
        <w:spacing w:before="160" w:after="60"/>
      </w:pPr>
      <w:r>
        <w:rPr>
          <w:rFonts w:ascii="Times New Roman" w:hAnsi="Times New Roman" w:eastAsia="Times New Roman"/>
          <w:b/>
          <w:i/>
          <w:sz w:val="18"/>
        </w:rPr>
        <w:t>E. Генерализация на источник данных вне обучения</w:t>
      </w:r>
    </w:p>
    <w:p>
      <w:r>
        <w:rPr>
          <w:rFonts w:ascii="Times New Roman" w:hAnsi="Times New Roman" w:eastAsia="Times New Roman"/>
          <w:b w:val="0"/>
          <w:i w:val="0"/>
          <w:sz w:val="18"/>
        </w:rPr>
        <w:t>Модель обучена только на пациентах источника CBICA (88 чел.) и проверена на источниках 2013+TCIA (23 чел.) — требование медицинского рецензента о чувствительности метода к межисточниковым различиям яркости/контраста.</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VIII. ГЕНЕРАЛИЗАЦИЯ НА НЕ ПРЕДСТАВЛЕННЫЙ В ОБУЧЕНИИ ИСТОЧНИК</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6"/>
              </w:rPr>
            </w:r>
          </w:p>
        </w:tc>
        <w:tc>
          <w:tcPr>
            <w:tcW w:type="dxa" w:w="2340"/>
          </w:tcPr>
          <w:p>
            <w:r/>
            <w:r>
              <w:rPr>
                <w:rFonts w:ascii="Times New Roman" w:hAnsi="Times New Roman" w:eastAsia="Times New Roman"/>
                <w:b/>
                <w:sz w:val="16"/>
              </w:rPr>
              <w:t>Dice, все срезы</w:t>
            </w:r>
          </w:p>
        </w:tc>
        <w:tc>
          <w:tcPr>
            <w:tcW w:type="dxa" w:w="2340"/>
          </w:tcPr>
          <w:p>
            <w:r/>
            <w:r>
              <w:rPr>
                <w:rFonts w:ascii="Times New Roman" w:hAnsi="Times New Roman" w:eastAsia="Times New Roman"/>
                <w:b/>
                <w:sz w:val="16"/>
              </w:rPr>
              <w:t>Dice, с опухолью</w:t>
            </w:r>
          </w:p>
        </w:tc>
        <w:tc>
          <w:tcPr>
            <w:tcW w:type="dxa" w:w="2340"/>
          </w:tcPr>
          <w:p>
            <w:r/>
            <w:r>
              <w:rPr>
                <w:rFonts w:ascii="Times New Roman" w:hAnsi="Times New Roman" w:eastAsia="Times New Roman"/>
                <w:b/>
                <w:sz w:val="16"/>
              </w:rPr>
              <w:t>Detection recall</w:t>
            </w:r>
          </w:p>
        </w:tc>
      </w:tr>
      <w:tr>
        <w:tc>
          <w:tcPr>
            <w:tcW w:type="dxa" w:w="2340"/>
          </w:tcPr>
          <w:p>
            <w:r/>
            <w:r>
              <w:rPr>
                <w:rFonts w:ascii="Times New Roman" w:hAnsi="Times New Roman" w:eastAsia="Times New Roman"/>
                <w:sz w:val="16"/>
              </w:rPr>
              <w:t>Случайное разбиение</w:t>
            </w:r>
          </w:p>
        </w:tc>
        <w:tc>
          <w:tcPr>
            <w:tcW w:type="dxa" w:w="2340"/>
          </w:tcPr>
          <w:p>
            <w:r/>
            <w:r>
              <w:rPr>
                <w:rFonts w:ascii="Times New Roman" w:hAnsi="Times New Roman" w:eastAsia="Times New Roman"/>
                <w:sz w:val="16"/>
              </w:rPr>
              <w:t>0,804</w:t>
            </w:r>
          </w:p>
        </w:tc>
        <w:tc>
          <w:tcPr>
            <w:tcW w:type="dxa" w:w="2340"/>
          </w:tcPr>
          <w:p>
            <w:r/>
            <w:r>
              <w:rPr>
                <w:rFonts w:ascii="Times New Roman" w:hAnsi="Times New Roman" w:eastAsia="Times New Roman"/>
                <w:sz w:val="16"/>
              </w:rPr>
              <w:t>0,625</w:t>
            </w:r>
          </w:p>
        </w:tc>
        <w:tc>
          <w:tcPr>
            <w:tcW w:type="dxa" w:w="2340"/>
          </w:tcPr>
          <w:p>
            <w:r/>
            <w:r>
              <w:rPr>
                <w:rFonts w:ascii="Times New Roman" w:hAnsi="Times New Roman" w:eastAsia="Times New Roman"/>
                <w:sz w:val="16"/>
              </w:rPr>
              <w:t>0,770</w:t>
            </w:r>
          </w:p>
        </w:tc>
      </w:tr>
      <w:tr>
        <w:tc>
          <w:tcPr>
            <w:tcW w:type="dxa" w:w="2340"/>
          </w:tcPr>
          <w:p>
            <w:r/>
            <w:r>
              <w:rPr>
                <w:rFonts w:ascii="Times New Roman" w:hAnsi="Times New Roman" w:eastAsia="Times New Roman"/>
                <w:sz w:val="16"/>
              </w:rPr>
              <w:t>Другой источник</w:t>
            </w:r>
          </w:p>
        </w:tc>
        <w:tc>
          <w:tcPr>
            <w:tcW w:type="dxa" w:w="2340"/>
          </w:tcPr>
          <w:p>
            <w:r/>
            <w:r>
              <w:rPr>
                <w:rFonts w:ascii="Times New Roman" w:hAnsi="Times New Roman" w:eastAsia="Times New Roman"/>
                <w:sz w:val="16"/>
              </w:rPr>
              <w:t>0,649</w:t>
            </w:r>
          </w:p>
        </w:tc>
        <w:tc>
          <w:tcPr>
            <w:tcW w:type="dxa" w:w="2340"/>
          </w:tcPr>
          <w:p>
            <w:r/>
            <w:r>
              <w:rPr>
                <w:rFonts w:ascii="Times New Roman" w:hAnsi="Times New Roman" w:eastAsia="Times New Roman"/>
                <w:sz w:val="16"/>
              </w:rPr>
              <w:t>0,332</w:t>
            </w:r>
          </w:p>
        </w:tc>
        <w:tc>
          <w:tcPr>
            <w:tcW w:type="dxa" w:w="2340"/>
          </w:tcPr>
          <w:p>
            <w:r/>
            <w:r>
              <w:rPr>
                <w:rFonts w:ascii="Times New Roman" w:hAnsi="Times New Roman" w:eastAsia="Times New Roman"/>
                <w:sz w:val="16"/>
              </w:rPr>
              <w:t>0,451</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029200" cy="3592286"/>
            <wp:docPr id="10" name="Picture 10"/>
            <wp:cNvGraphicFramePr>
              <a:graphicFrameLocks noChangeAspect="1"/>
            </wp:cNvGraphicFramePr>
            <a:graphic>
              <a:graphicData uri="http://schemas.openxmlformats.org/drawingml/2006/picture">
                <pic:pic>
                  <pic:nvPicPr>
                    <pic:cNvPr id="0" name="article4_unet_chart_cross_institution.png"/>
                    <pic:cNvPicPr/>
                  </pic:nvPicPr>
                  <pic:blipFill>
                    <a:blip r:embed="rId18"/>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sz w:val="16"/>
        </w:rPr>
        <w:t>Рис. 10. Разрыв генерализации при переносе на другой источник данных.</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Качество падает на 29,3 процентных пункта при переносе на источник вне обучения — количественное подтверждение опасения медицинского рецензента. Оговорка: это перенос между контрибьюторами внутри курируемого BraTS2020, не проверка на снимках другого протокола МРТ-съёмки.</w:t>
      </w:r>
    </w:p>
    <w:p>
      <w:pPr>
        <w:spacing w:before="160" w:after="60"/>
      </w:pPr>
      <w:r>
        <w:rPr>
          <w:rFonts w:ascii="Times New Roman" w:hAnsi="Times New Roman" w:eastAsia="Times New Roman"/>
          <w:b/>
          <w:i/>
          <w:sz w:val="18"/>
        </w:rPr>
        <w:t>F. Повышение точности: мультимодальный вход</w:t>
      </w:r>
    </w:p>
    <w:p>
      <w:r>
        <w:rPr>
          <w:rFonts w:ascii="Times New Roman" w:hAnsi="Times New Roman" w:eastAsia="Times New Roman"/>
          <w:b w:val="0"/>
          <w:i w:val="0"/>
          <w:sz w:val="18"/>
        </w:rPr>
        <w:t>Проверено, насколько одновременное использование всех четырёх модальностей способно повысить качество относительно архитектурных вариаций в пределах одной модальности, с увеличенным разрешением (128×128), аугментацией (флип, поворот, яркостный джиттер), расписанием скорости обучения с понижением по плато и ранней остановкой (остановлено на эпохе 26).</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IX. ЭФФЕКТ МУЛЬТИМОДАЛЬНОГО ВХОДА</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6"/>
              </w:rPr>
            </w:r>
          </w:p>
        </w:tc>
        <w:tc>
          <w:tcPr>
            <w:tcW w:type="dxa" w:w="1872"/>
          </w:tcPr>
          <w:p>
            <w:r/>
            <w:r>
              <w:rPr>
                <w:rFonts w:ascii="Times New Roman" w:hAnsi="Times New Roman" w:eastAsia="Times New Roman"/>
                <w:b/>
                <w:sz w:val="16"/>
              </w:rPr>
              <w:t>Dice, все срезы</w:t>
            </w:r>
          </w:p>
        </w:tc>
        <w:tc>
          <w:tcPr>
            <w:tcW w:type="dxa" w:w="1872"/>
          </w:tcPr>
          <w:p>
            <w:r/>
            <w:r>
              <w:rPr>
                <w:rFonts w:ascii="Times New Roman" w:hAnsi="Times New Roman" w:eastAsia="Times New Roman"/>
                <w:b/>
                <w:sz w:val="16"/>
              </w:rPr>
              <w:t>Dice, с опухолью</w:t>
            </w:r>
          </w:p>
        </w:tc>
        <w:tc>
          <w:tcPr>
            <w:tcW w:type="dxa" w:w="1872"/>
          </w:tcPr>
          <w:p>
            <w:r/>
            <w:r>
              <w:rPr>
                <w:rFonts w:ascii="Times New Roman" w:hAnsi="Times New Roman" w:eastAsia="Times New Roman"/>
                <w:b/>
                <w:sz w:val="16"/>
              </w:rPr>
              <w:t>Detection recall</w:t>
            </w:r>
          </w:p>
        </w:tc>
        <w:tc>
          <w:tcPr>
            <w:tcW w:type="dxa" w:w="1872"/>
          </w:tcPr>
          <w:p>
            <w:r/>
            <w:r>
              <w:rPr>
                <w:rFonts w:ascii="Times New Roman" w:hAnsi="Times New Roman" w:eastAsia="Times New Roman"/>
                <w:b/>
                <w:sz w:val="16"/>
              </w:rPr>
              <w:t>CI95</w:t>
            </w:r>
          </w:p>
        </w:tc>
      </w:tr>
      <w:tr>
        <w:tc>
          <w:tcPr>
            <w:tcW w:type="dxa" w:w="1872"/>
          </w:tcPr>
          <w:p>
            <w:r/>
            <w:r>
              <w:rPr>
                <w:rFonts w:ascii="Times New Roman" w:hAnsi="Times New Roman" w:eastAsia="Times New Roman"/>
                <w:sz w:val="16"/>
              </w:rPr>
              <w:t>Одна модальность (DeepLabV3+ (lite))</w:t>
            </w:r>
          </w:p>
        </w:tc>
        <w:tc>
          <w:tcPr>
            <w:tcW w:type="dxa" w:w="1872"/>
          </w:tcPr>
          <w:p>
            <w:r/>
            <w:r>
              <w:rPr>
                <w:rFonts w:ascii="Times New Roman" w:hAnsi="Times New Roman" w:eastAsia="Times New Roman"/>
                <w:sz w:val="16"/>
              </w:rPr>
              <w:t>0,837</w:t>
            </w:r>
          </w:p>
        </w:tc>
        <w:tc>
          <w:tcPr>
            <w:tcW w:type="dxa" w:w="1872"/>
          </w:tcPr>
          <w:p>
            <w:r/>
            <w:r>
              <w:rPr>
                <w:rFonts w:ascii="Times New Roman" w:hAnsi="Times New Roman" w:eastAsia="Times New Roman"/>
                <w:sz w:val="16"/>
              </w:rPr>
              <w:t>0,695</w:t>
            </w:r>
          </w:p>
        </w:tc>
        <w:tc>
          <w:tcPr>
            <w:tcW w:type="dxa" w:w="1872"/>
          </w:tcPr>
          <w:p>
            <w:r/>
            <w:r>
              <w:rPr>
                <w:rFonts w:ascii="Times New Roman" w:hAnsi="Times New Roman" w:eastAsia="Times New Roman"/>
                <w:sz w:val="16"/>
              </w:rPr>
              <w:t>0,832</w:t>
            </w:r>
          </w:p>
        </w:tc>
        <w:tc>
          <w:tcPr>
            <w:tcW w:type="dxa" w:w="1872"/>
          </w:tcPr>
          <w:p>
            <w:r/>
            <w:r>
              <w:rPr>
                <w:rFonts w:ascii="Times New Roman" w:hAnsi="Times New Roman" w:eastAsia="Times New Roman"/>
                <w:sz w:val="16"/>
              </w:rPr>
              <w:t>[81,6%, 84,7%]</w:t>
            </w:r>
          </w:p>
        </w:tc>
      </w:tr>
      <w:tr>
        <w:tc>
          <w:tcPr>
            <w:tcW w:type="dxa" w:w="1872"/>
          </w:tcPr>
          <w:p>
            <w:r/>
            <w:r>
              <w:rPr>
                <w:rFonts w:ascii="Times New Roman" w:hAnsi="Times New Roman" w:eastAsia="Times New Roman"/>
                <w:sz w:val="16"/>
              </w:rPr>
              <w:t>Мультимодальный вход</w:t>
            </w:r>
          </w:p>
        </w:tc>
        <w:tc>
          <w:tcPr>
            <w:tcW w:type="dxa" w:w="1872"/>
          </w:tcPr>
          <w:p>
            <w:r/>
            <w:r>
              <w:rPr>
                <w:rFonts w:ascii="Times New Roman" w:hAnsi="Times New Roman" w:eastAsia="Times New Roman"/>
                <w:sz w:val="16"/>
              </w:rPr>
              <w:t>0,860</w:t>
            </w:r>
          </w:p>
        </w:tc>
        <w:tc>
          <w:tcPr>
            <w:tcW w:type="dxa" w:w="1872"/>
          </w:tcPr>
          <w:p>
            <w:r/>
            <w:r>
              <w:rPr>
                <w:rFonts w:ascii="Times New Roman" w:hAnsi="Times New Roman" w:eastAsia="Times New Roman"/>
                <w:sz w:val="16"/>
              </w:rPr>
              <w:t>0,783</w:t>
            </w:r>
          </w:p>
        </w:tc>
        <w:tc>
          <w:tcPr>
            <w:tcW w:type="dxa" w:w="1872"/>
          </w:tcPr>
          <w:p>
            <w:r/>
            <w:r>
              <w:rPr>
                <w:rFonts w:ascii="Times New Roman" w:hAnsi="Times New Roman" w:eastAsia="Times New Roman"/>
                <w:sz w:val="16"/>
              </w:rPr>
              <w:t>0,899</w:t>
            </w:r>
          </w:p>
        </w:tc>
        <w:tc>
          <w:tcPr>
            <w:tcW w:type="dxa" w:w="1872"/>
          </w:tcPr>
          <w:p>
            <w:r/>
            <w:r>
              <w:rPr>
                <w:rFonts w:ascii="Times New Roman" w:hAnsi="Times New Roman" w:eastAsia="Times New Roman"/>
                <w:sz w:val="16"/>
              </w:rPr>
              <w:t>[88,6%, 91,1%]</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029200" cy="3592286"/>
            <wp:docPr id="11" name="Picture 11"/>
            <wp:cNvGraphicFramePr>
              <a:graphicFrameLocks noChangeAspect="1"/>
            </wp:cNvGraphicFramePr>
            <a:graphic>
              <a:graphicData uri="http://schemas.openxmlformats.org/drawingml/2006/picture">
                <pic:pic>
                  <pic:nvPicPr>
                    <pic:cNvPr id="0" name="article4_unet_chart_accuracy_boost.png"/>
                    <pic:cNvPicPr/>
                  </pic:nvPicPr>
                  <pic:blipFill>
                    <a:blip r:embed="rId19"/>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sz w:val="16"/>
        </w:rPr>
        <w:t>Рис. 11. Прирост Dice от мультимодального входа.</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Мультимодальный вход даёт прирост 8,8 процентных пункта Dice относительно лучшей из девяти архитектур на одной модальности — существенно больше эффекта от любой отдельной архитектурной замены или от учёта контекста соседних срезов. При ограниченном бюджете улучшений выбор входных данных заслуживает приоритета перед перебором архитектур.</w:t>
      </w:r>
    </w:p>
    <w:p>
      <w:pPr>
        <w:spacing w:before="160" w:after="60"/>
      </w:pPr>
      <w:r>
        <w:rPr>
          <w:rFonts w:ascii="Times New Roman" w:hAnsi="Times New Roman" w:eastAsia="Times New Roman"/>
          <w:b/>
          <w:i/>
          <w:sz w:val="18"/>
        </w:rPr>
        <w:t>G. Абляция предобработки</w:t>
      </w:r>
    </w:p>
    <w:p>
      <w:r>
        <w:rPr>
          <w:rFonts w:ascii="Times New Roman" w:hAnsi="Times New Roman" w:eastAsia="Times New Roman"/>
          <w:b w:val="0"/>
          <w:i w:val="0"/>
          <w:sz w:val="18"/>
        </w:rPr>
        <w:t>Сопоставлены пять вариантов предобработки (сокращённая выборка — 15 пациентов, K=1): полный конвейер; без подавления фона и центрирования; усиленный порог фона; CLAHE-контраст; min-max нормализация.</w:t>
      </w:r>
    </w:p>
    <w:p>
      <w:pPr>
        <w:sectPr>
          <w:type w:val="continuous"/>
          <w:pgSz w:w="12240" w:h="15840"/>
          <w:pgMar w:top="1440" w:right="1440" w:bottom="1440" w:left="1440" w:header="720" w:footer="720" w:gutter="0"/>
          <w:cols w:space="425" w:num="2"/>
          <w:docGrid w:linePitch="360"/>
        </w:sectPr>
      </w:pPr>
    </w:p>
    <w:p>
      <w:pPr>
        <w:jc w:val="center"/>
      </w:pPr>
      <w:r>
        <w:rPr>
          <w:rFonts w:ascii="Times New Roman" w:hAnsi="Times New Roman" w:eastAsia="Times New Roman"/>
          <w:b/>
          <w:sz w:val="16"/>
        </w:rPr>
        <w:t>ТАБЛИЦА X. КАЧЕСТВО СЕГМЕНТАЦИИ ПО ВАРИАНТАМ ПРЕДОБРАБОТКИ</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6"/>
              </w:rPr>
              <w:t>Вариант предобработки</w:t>
            </w:r>
          </w:p>
        </w:tc>
        <w:tc>
          <w:tcPr>
            <w:tcW w:type="dxa" w:w="3120"/>
          </w:tcPr>
          <w:p>
            <w:r/>
            <w:r>
              <w:rPr>
                <w:rFonts w:ascii="Times New Roman" w:hAnsi="Times New Roman" w:eastAsia="Times New Roman"/>
                <w:b/>
                <w:sz w:val="16"/>
              </w:rPr>
              <w:t>Mean Dice</w:t>
            </w:r>
          </w:p>
        </w:tc>
        <w:tc>
          <w:tcPr>
            <w:tcW w:type="dxa" w:w="3120"/>
          </w:tcPr>
          <w:p>
            <w:r/>
            <w:r>
              <w:rPr>
                <w:rFonts w:ascii="Times New Roman" w:hAnsi="Times New Roman" w:eastAsia="Times New Roman"/>
                <w:b/>
                <w:sz w:val="16"/>
              </w:rPr>
              <w:t>Median Dice</w:t>
            </w:r>
          </w:p>
        </w:tc>
      </w:tr>
      <w:tr>
        <w:tc>
          <w:tcPr>
            <w:tcW w:type="dxa" w:w="3120"/>
          </w:tcPr>
          <w:p>
            <w:r/>
            <w:r>
              <w:rPr>
                <w:rFonts w:ascii="Times New Roman" w:hAnsi="Times New Roman" w:eastAsia="Times New Roman"/>
                <w:sz w:val="16"/>
              </w:rPr>
              <w:t>Полный конвейер</w:t>
            </w:r>
          </w:p>
        </w:tc>
        <w:tc>
          <w:tcPr>
            <w:tcW w:type="dxa" w:w="3120"/>
          </w:tcPr>
          <w:p>
            <w:r/>
            <w:r>
              <w:rPr>
                <w:rFonts w:ascii="Times New Roman" w:hAnsi="Times New Roman" w:eastAsia="Times New Roman"/>
                <w:sz w:val="16"/>
              </w:rPr>
              <w:t>0,598</w:t>
            </w:r>
          </w:p>
        </w:tc>
        <w:tc>
          <w:tcPr>
            <w:tcW w:type="dxa" w:w="3120"/>
          </w:tcPr>
          <w:p>
            <w:r/>
            <w:r>
              <w:rPr>
                <w:rFonts w:ascii="Times New Roman" w:hAnsi="Times New Roman" w:eastAsia="Times New Roman"/>
                <w:sz w:val="16"/>
              </w:rPr>
              <w:t>1,000</w:t>
            </w:r>
          </w:p>
        </w:tc>
      </w:tr>
      <w:tr>
        <w:tc>
          <w:tcPr>
            <w:tcW w:type="dxa" w:w="3120"/>
          </w:tcPr>
          <w:p>
            <w:r/>
            <w:r>
              <w:rPr>
                <w:rFonts w:ascii="Times New Roman" w:hAnsi="Times New Roman" w:eastAsia="Times New Roman"/>
                <w:sz w:val="16"/>
              </w:rPr>
              <w:t>Без центрирования</w:t>
            </w:r>
          </w:p>
        </w:tc>
        <w:tc>
          <w:tcPr>
            <w:tcW w:type="dxa" w:w="3120"/>
          </w:tcPr>
          <w:p>
            <w:r/>
            <w:r>
              <w:rPr>
                <w:rFonts w:ascii="Times New Roman" w:hAnsi="Times New Roman" w:eastAsia="Times New Roman"/>
                <w:sz w:val="16"/>
              </w:rPr>
              <w:t>0,719</w:t>
            </w:r>
          </w:p>
        </w:tc>
        <w:tc>
          <w:tcPr>
            <w:tcW w:type="dxa" w:w="3120"/>
          </w:tcPr>
          <w:p>
            <w:r/>
            <w:r>
              <w:rPr>
                <w:rFonts w:ascii="Times New Roman" w:hAnsi="Times New Roman" w:eastAsia="Times New Roman"/>
                <w:sz w:val="16"/>
              </w:rPr>
              <w:t>1,000</w:t>
            </w:r>
          </w:p>
        </w:tc>
      </w:tr>
      <w:tr>
        <w:tc>
          <w:tcPr>
            <w:tcW w:type="dxa" w:w="3120"/>
          </w:tcPr>
          <w:p>
            <w:r/>
            <w:r>
              <w:rPr>
                <w:rFonts w:ascii="Times New Roman" w:hAnsi="Times New Roman" w:eastAsia="Times New Roman"/>
                <w:sz w:val="16"/>
              </w:rPr>
              <w:t>Усиленный порог фона (40)</w:t>
            </w:r>
          </w:p>
        </w:tc>
        <w:tc>
          <w:tcPr>
            <w:tcW w:type="dxa" w:w="3120"/>
          </w:tcPr>
          <w:p>
            <w:r/>
            <w:r>
              <w:rPr>
                <w:rFonts w:ascii="Times New Roman" w:hAnsi="Times New Roman" w:eastAsia="Times New Roman"/>
                <w:sz w:val="16"/>
              </w:rPr>
              <w:t>0,598</w:t>
            </w:r>
          </w:p>
        </w:tc>
        <w:tc>
          <w:tcPr>
            <w:tcW w:type="dxa" w:w="3120"/>
          </w:tcPr>
          <w:p>
            <w:r/>
            <w:r>
              <w:rPr>
                <w:rFonts w:ascii="Times New Roman" w:hAnsi="Times New Roman" w:eastAsia="Times New Roman"/>
                <w:sz w:val="16"/>
              </w:rPr>
              <w:t>1,000</w:t>
            </w:r>
          </w:p>
        </w:tc>
      </w:tr>
      <w:tr>
        <w:tc>
          <w:tcPr>
            <w:tcW w:type="dxa" w:w="3120"/>
          </w:tcPr>
          <w:p>
            <w:r/>
            <w:r>
              <w:rPr>
                <w:rFonts w:ascii="Times New Roman" w:hAnsi="Times New Roman" w:eastAsia="Times New Roman"/>
                <w:sz w:val="16"/>
              </w:rPr>
              <w:t>CLAHE-контраст</w:t>
            </w:r>
          </w:p>
        </w:tc>
        <w:tc>
          <w:tcPr>
            <w:tcW w:type="dxa" w:w="3120"/>
          </w:tcPr>
          <w:p>
            <w:r/>
            <w:r>
              <w:rPr>
                <w:rFonts w:ascii="Times New Roman" w:hAnsi="Times New Roman" w:eastAsia="Times New Roman"/>
                <w:sz w:val="16"/>
              </w:rPr>
              <w:t>0,598</w:t>
            </w:r>
          </w:p>
        </w:tc>
        <w:tc>
          <w:tcPr>
            <w:tcW w:type="dxa" w:w="3120"/>
          </w:tcPr>
          <w:p>
            <w:r/>
            <w:r>
              <w:rPr>
                <w:rFonts w:ascii="Times New Roman" w:hAnsi="Times New Roman" w:eastAsia="Times New Roman"/>
                <w:sz w:val="16"/>
              </w:rPr>
              <w:t>1,000</w:t>
            </w:r>
          </w:p>
        </w:tc>
      </w:tr>
      <w:tr>
        <w:tc>
          <w:tcPr>
            <w:tcW w:type="dxa" w:w="3120"/>
          </w:tcPr>
          <w:p>
            <w:r/>
            <w:r>
              <w:rPr>
                <w:rFonts w:ascii="Times New Roman" w:hAnsi="Times New Roman" w:eastAsia="Times New Roman"/>
                <w:sz w:val="16"/>
              </w:rPr>
              <w:t>Min-max нормализация</w:t>
            </w:r>
          </w:p>
        </w:tc>
        <w:tc>
          <w:tcPr>
            <w:tcW w:type="dxa" w:w="3120"/>
          </w:tcPr>
          <w:p>
            <w:r/>
            <w:r>
              <w:rPr>
                <w:rFonts w:ascii="Times New Roman" w:hAnsi="Times New Roman" w:eastAsia="Times New Roman"/>
                <w:sz w:val="16"/>
              </w:rPr>
              <w:t>0,598</w:t>
            </w:r>
          </w:p>
        </w:tc>
        <w:tc>
          <w:tcPr>
            <w:tcW w:type="dxa" w:w="3120"/>
          </w:tcPr>
          <w:p>
            <w:r/>
            <w:r>
              <w:rPr>
                <w:rFonts w:ascii="Times New Roman" w:hAnsi="Times New Roman" w:eastAsia="Times New Roman"/>
                <w:sz w:val="16"/>
              </w:rPr>
              <w:t>1,000</w:t>
            </w:r>
          </w:p>
        </w:tc>
      </w:tr>
    </w:tbl>
    <w:p>
      <w:pPr>
        <w:sectPr>
          <w:type w:val="continuous"/>
          <w:pgSz w:w="12240" w:h="15840"/>
          <w:pgMar w:top="1440" w:right="1440" w:bottom="1440" w:left="1440" w:header="720" w:footer="720" w:gutter="0"/>
          <w:cols w:space="0" w:num="1"/>
          <w:docGrid w:linePitch="360"/>
        </w:sectPr>
      </w:pPr>
    </w:p>
    <w:p>
      <w:pPr>
        <w:sectPr>
          <w:type w:val="continuous"/>
          <w:pgSz w:w="12240" w:h="15840"/>
          <w:pgMar w:top="1440" w:right="1440" w:bottom="1440" w:left="1440" w:header="720" w:footer="720" w:gutter="0"/>
          <w:cols w:space="425" w:num="2"/>
          <w:docGrid w:linePitch="360"/>
        </w:sectPr>
      </w:pPr>
    </w:p>
    <w:p>
      <w:pPr>
        <w:jc w:val="center"/>
      </w:pPr>
      <w:r>
        <w:drawing>
          <wp:inline xmlns:a="http://schemas.openxmlformats.org/drawingml/2006/main" xmlns:pic="http://schemas.openxmlformats.org/drawingml/2006/picture">
            <wp:extent cx="5760720" cy="2956159"/>
            <wp:docPr id="12" name="Picture 12"/>
            <wp:cNvGraphicFramePr>
              <a:graphicFrameLocks noChangeAspect="1"/>
            </wp:cNvGraphicFramePr>
            <a:graphic>
              <a:graphicData uri="http://schemas.openxmlformats.org/drawingml/2006/picture">
                <pic:pic>
                  <pic:nvPicPr>
                    <pic:cNvPr id="0" name="article4_unet_chart_preprocessing_ablation.png"/>
                    <pic:cNvPicPr/>
                  </pic:nvPicPr>
                  <pic:blipFill>
                    <a:blip r:embed="rId20"/>
                    <a:stretch>
                      <a:fillRect/>
                    </a:stretch>
                  </pic:blipFill>
                  <pic:spPr>
                    <a:xfrm>
                      <a:off x="0" y="0"/>
                      <a:ext cx="5760720" cy="2956159"/>
                    </a:xfrm>
                    <a:prstGeom prst="rect"/>
                  </pic:spPr>
                </pic:pic>
              </a:graphicData>
            </a:graphic>
          </wp:inline>
        </w:drawing>
      </w:r>
    </w:p>
    <w:p>
      <w:pPr>
        <w:jc w:val="center"/>
      </w:pPr>
      <w:r>
        <w:rPr>
          <w:rFonts w:ascii="Times New Roman" w:hAnsi="Times New Roman" w:eastAsia="Times New Roman"/>
          <w:sz w:val="16"/>
        </w:rPr>
        <w:t>Рис. 12. Mean/median Dice по вариантам предобработки.</w:t>
      </w:r>
    </w:p>
    <w:p>
      <w:pPr>
        <w:sectPr>
          <w:type w:val="continuous"/>
          <w:pgSz w:w="12240" w:h="15840"/>
          <w:pgMar w:top="1440" w:right="1440" w:bottom="1440" w:left="1440" w:header="720" w:footer="720" w:gutter="0"/>
          <w:cols w:space="0" w:num="1"/>
          <w:docGrid w:linePitch="360"/>
        </w:sectPr>
      </w:pPr>
    </w:p>
    <w:p>
      <w:r>
        <w:rPr>
          <w:rFonts w:ascii="Times New Roman" w:hAnsi="Times New Roman" w:eastAsia="Times New Roman"/>
          <w:b w:val="0"/>
          <w:i w:val="0"/>
          <w:sz w:val="18"/>
        </w:rPr>
        <w:t>Четыре варианта из пяти дали практически идентичные значения — признак коллапса модели в тривиальное решение на ограниченном бюджете (K=1, 5 эпох), а не честного равенства качества. Абляция демонстрирует сам риск коллапса, но не даёт статистически надёжного ранжирования вариантов предобработки.</w:t>
      </w:r>
    </w:p>
    <w:p>
      <w:pPr>
        <w:spacing w:before="200" w:after="80"/>
      </w:pPr>
      <w:r>
        <w:rPr>
          <w:rFonts w:ascii="Times New Roman" w:hAnsi="Times New Roman" w:eastAsia="Times New Roman"/>
          <w:b/>
          <w:sz w:val="22"/>
        </w:rPr>
        <w:t>V. Заключение</w:t>
      </w:r>
    </w:p>
    <w:p>
      <w:r>
        <w:rPr>
          <w:rFonts w:ascii="Times New Roman" w:hAnsi="Times New Roman" w:eastAsia="Times New Roman"/>
          <w:b w:val="0"/>
          <w:i w:val="0"/>
          <w:sz w:val="18"/>
        </w:rPr>
        <w:t>Контекст физически смежных срезов даёт статистически устойчивый прирост качества сегментации, с пройденной контрольной проверкой механизма эффекта (H2), но заметно уступает по величине эффекту от использования нескольких МРТ-модальностей одновременно — наиболее весомому из проверенных честных рычагов повышения точности в этом исследовании. Обе находки устойчивы независимо от выбора архитектуры (при условии нормализации по батчу), но качество существенно деградирует при переносе на источник данных вне обучения.</w:t>
      </w:r>
    </w:p>
    <w:p>
      <w:r>
        <w:rPr>
          <w:rFonts w:ascii="Times New Roman" w:hAnsi="Times New Roman" w:eastAsia="Times New Roman"/>
          <w:b w:val="0"/>
          <w:i w:val="0"/>
          <w:sz w:val="18"/>
        </w:rPr>
        <w:t>Достигнутая точность (Dice с опухолью: 78,3% в лучшей конфигурации; детекция опухоли на срезе — 89,9% при 95%-ДИ [88,6%, 91,1%]) недостаточна для самостоятельной клинической диагностики — опубликованные решения конкурса BraTS на существенно большем вычислительном бюджете достигают Dice порядка 85–90%. Представленный метод следует рассматривать исключительно как вспомогательный инструмент поддержки принятия решения, а не как самостоятельное диагностическое средство: диагноз требует клинической картины и, как правило, гистологического подтверждения.</w:t>
      </w:r>
    </w:p>
    <w:p>
      <w:pPr>
        <w:spacing w:before="200" w:after="80"/>
      </w:pPr>
      <w:r>
        <w:rPr>
          <w:rFonts w:ascii="Times New Roman" w:hAnsi="Times New Roman" w:eastAsia="Times New Roman"/>
          <w:b/>
          <w:sz w:val="22"/>
        </w:rPr>
        <w:t>Литература</w:t>
      </w:r>
    </w:p>
    <w:p>
      <w:pPr>
        <w:spacing w:after="80"/>
        <w:ind w:left="280" w:hanging="280"/>
      </w:pPr>
      <w:r>
        <w:rPr>
          <w:rFonts w:ascii="Times New Roman" w:hAnsi="Times New Roman" w:eastAsia="Times New Roman"/>
          <w:sz w:val="18"/>
        </w:rPr>
        <w:t>[1] Ronneberger O., Fischer P., Brox T. U-Net: Convolutional Networks for Biomedical Image Segmentation // MICCAI 2015, LNCS. — 2015. — Vol. 9351. — P. 234–241.</w:t>
      </w:r>
    </w:p>
    <w:p>
      <w:pPr>
        <w:spacing w:after="80"/>
        <w:ind w:left="280" w:hanging="280"/>
      </w:pPr>
      <w:r>
        <w:rPr>
          <w:rFonts w:ascii="Times New Roman" w:hAnsi="Times New Roman" w:eastAsia="Times New Roman"/>
          <w:sz w:val="18"/>
        </w:rPr>
        <w:t>[2] Milletari F., Navab N., Ahmadi S.-A. V-Net: Fully Convolutional Neural Networks for Volumetric Medical Image Segmentation // Proc. 3DV. — 2016. — P. 565–571.</w:t>
      </w:r>
    </w:p>
    <w:p>
      <w:pPr>
        <w:spacing w:after="80"/>
        <w:ind w:left="280" w:hanging="280"/>
      </w:pPr>
      <w:r>
        <w:rPr>
          <w:rFonts w:ascii="Times New Roman" w:hAnsi="Times New Roman" w:eastAsia="Times New Roman"/>
          <w:sz w:val="18"/>
        </w:rPr>
        <w:t>[3] He K., Zhang X., Ren S., Sun J. Deep Residual Learning for Image Recognition // Proc. CVPR. — 2016. — P. 770–778.</w:t>
      </w:r>
    </w:p>
    <w:p>
      <w:pPr>
        <w:spacing w:after="80"/>
        <w:ind w:left="280" w:hanging="280"/>
      </w:pPr>
      <w:r>
        <w:rPr>
          <w:rFonts w:ascii="Times New Roman" w:hAnsi="Times New Roman" w:eastAsia="Times New Roman"/>
          <w:sz w:val="18"/>
        </w:rPr>
        <w:t>[4] Zhang Z., Liu Q., Wang Y. Road Extraction by Deep Residual U-Net // IEEE Geoscience and Remote Sensing Letters. — 2018. — Vol. 15, No. 5. — P. 749–753.</w:t>
      </w:r>
    </w:p>
    <w:p>
      <w:pPr>
        <w:spacing w:after="80"/>
        <w:ind w:left="280" w:hanging="280"/>
      </w:pPr>
      <w:r>
        <w:rPr>
          <w:rFonts w:ascii="Times New Roman" w:hAnsi="Times New Roman" w:eastAsia="Times New Roman"/>
          <w:sz w:val="18"/>
        </w:rPr>
        <w:t>[5] Oktay O., Schlemper J., Folgoc L.L., et al. Attention U-Net: Learning Where to Look for the Pancreas // arXiv:1804.03999. — 2018.</w:t>
      </w:r>
    </w:p>
    <w:p>
      <w:pPr>
        <w:spacing w:after="80"/>
        <w:ind w:left="280" w:hanging="280"/>
      </w:pPr>
      <w:r>
        <w:rPr>
          <w:rFonts w:ascii="Times New Roman" w:hAnsi="Times New Roman" w:eastAsia="Times New Roman"/>
          <w:sz w:val="18"/>
        </w:rPr>
        <w:t>[6] Badrinarayanan V., Kendall A., Cipolla R. SegNet: A Deep Convolutional Encoder-Decoder Architecture for Image Segmentation // IEEE TPAMI. — 2017. — Vol. 39, No. 12. — P. 2481–2495.</w:t>
      </w:r>
    </w:p>
    <w:p>
      <w:pPr>
        <w:spacing w:after="80"/>
        <w:ind w:left="280" w:hanging="280"/>
      </w:pPr>
      <w:r>
        <w:rPr>
          <w:rFonts w:ascii="Times New Roman" w:hAnsi="Times New Roman" w:eastAsia="Times New Roman"/>
          <w:sz w:val="18"/>
        </w:rPr>
        <w:t>[7] Long J., Shelhamer E., Darrell T. Fully Convolutional Networks for Semantic Segmentation // Proc. CVPR. — 2015. — P. 3431–3440.</w:t>
      </w:r>
    </w:p>
    <w:p>
      <w:pPr>
        <w:spacing w:after="80"/>
        <w:ind w:left="280" w:hanging="280"/>
      </w:pPr>
      <w:r>
        <w:rPr>
          <w:rFonts w:ascii="Times New Roman" w:hAnsi="Times New Roman" w:eastAsia="Times New Roman"/>
          <w:sz w:val="18"/>
        </w:rPr>
        <w:t>[8] Ibtehaz N., Rahman M.S. MultiResUNet: Rethinking the U-Net Architecture for Multimodal Biomedical Image Segmentation // Neural Networks. — 2020. — Vol. 121. — P. 74–87.</w:t>
      </w:r>
    </w:p>
    <w:p>
      <w:pPr>
        <w:spacing w:after="80"/>
        <w:ind w:left="280" w:hanging="280"/>
      </w:pPr>
      <w:r>
        <w:rPr>
          <w:rFonts w:ascii="Times New Roman" w:hAnsi="Times New Roman" w:eastAsia="Times New Roman"/>
          <w:sz w:val="18"/>
        </w:rPr>
        <w:t>[9] Chen L.-C., Zhu Y., Papandreou G., Schroff F., Adam H. Encoder-Decoder with Atrous Separable Convolution for Semantic Image Segmentation (DeepLabV3+) // Proc. ECCV. — 2018. — P. 833–851.</w:t>
      </w:r>
    </w:p>
    <w:p>
      <w:pPr>
        <w:spacing w:after="80"/>
        <w:ind w:left="280" w:hanging="280"/>
      </w:pPr>
      <w:r>
        <w:rPr>
          <w:rFonts w:ascii="Times New Roman" w:hAnsi="Times New Roman" w:eastAsia="Times New Roman"/>
          <w:sz w:val="18"/>
        </w:rPr>
        <w:t>[10] Menze B.H., Jakab A., Bauer S., et al. The Multimodal Brain Tumor Image Segmentation Benchmark (BRATS) // IEEE Transactions on Medical Imaging. — 2015. — Vol. 34, No. 10. — P. 1993–2024.</w:t>
      </w:r>
    </w:p>
    <w:p>
      <w:pPr>
        <w:spacing w:after="80"/>
        <w:ind w:left="280" w:hanging="280"/>
      </w:pPr>
      <w:r>
        <w:rPr>
          <w:rFonts w:ascii="Times New Roman" w:hAnsi="Times New Roman" w:eastAsia="Times New Roman"/>
          <w:sz w:val="18"/>
        </w:rPr>
        <w:t>[11] Bakas S., Akbari H., Sotiras A., et al. Advancing The Cancer Genome Atlas glioma MRI collections with expert segmentation labels and radiomic features // Scientific Data. — 2017. — Vol. 4. — Art. 170117.</w:t>
      </w:r>
    </w:p>
    <w:p>
      <w:pPr>
        <w:spacing w:after="80"/>
        <w:ind w:left="280" w:hanging="280"/>
      </w:pPr>
      <w:r>
        <w:rPr>
          <w:rFonts w:ascii="Times New Roman" w:hAnsi="Times New Roman" w:eastAsia="Times New Roman"/>
          <w:sz w:val="18"/>
        </w:rPr>
        <w:t>[12] Bakas S., Reyes M., Jakab A., et al. Identifying the Best Machine Learning Algorithms for Brain Tumor Segmentation, Progression Assessment, and Overall Survival Prediction in the BRATS Challenge // arXiv:1811.02629. — 2018.</w:t>
      </w:r>
    </w:p>
    <w:p>
      <w:pPr>
        <w:spacing w:after="80"/>
        <w:ind w:left="280" w:hanging="280"/>
      </w:pPr>
      <w:r>
        <w:rPr>
          <w:rFonts w:ascii="Times New Roman" w:hAnsi="Times New Roman" w:eastAsia="Times New Roman"/>
          <w:sz w:val="18"/>
        </w:rPr>
        <w:t>[13] Isensee F., Jaeger P.F., Kohl S.A.A., Petersen J., Maier-Hein K.H. nnU-Net: a self-configuring method for deep learning-based biomedical image segmentation // Nature Methods. — 2021. — Vol. 18. — P. 203–211.</w:t>
      </w:r>
    </w:p>
    <w:p>
      <w:pPr>
        <w:spacing w:after="80"/>
        <w:ind w:left="280" w:hanging="280"/>
      </w:pPr>
      <w:r>
        <w:rPr>
          <w:rFonts w:ascii="Times New Roman" w:hAnsi="Times New Roman" w:eastAsia="Times New Roman"/>
          <w:sz w:val="18"/>
        </w:rPr>
        <w:t>[14] Wilson E.B. Probable Inference, the Law of Succession, and Statistical Inference // Journal of the American Statistical Association. — 1927. — Vol. 22, No. 158. — P. 209–212.</w:t>
      </w:r>
    </w:p>
    <w:p>
      <w:pPr>
        <w:spacing w:after="80"/>
        <w:ind w:left="280" w:hanging="280"/>
      </w:pPr>
      <w:r>
        <w:rPr>
          <w:rFonts w:ascii="Times New Roman" w:hAnsi="Times New Roman" w:eastAsia="Times New Roman"/>
          <w:sz w:val="18"/>
        </w:rPr>
        <w:t>[15] Awsaf. BraTS2020 Dataset (Training + Validation) [Электронный ресурс] // Kaggle. — Режим доступа: https://www.kaggle.com/datasets/awsaf49/brats20-dataset-training-validation (дата обращения: 08.10.2026).</w:t>
      </w:r>
    </w:p>
    <w:sectPr w:rsidR="00FC693F" w:rsidRPr="0006063C" w:rsidSect="00034616">
      <w:type w:val="continuous"/>
      <w:pgSz w:w="12240" w:h="15840"/>
      <w:pgMar w:top="1440" w:right="1440" w:bottom="1440" w:left="144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