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МОСКОВСКИЙ АВИАЦИОННЫЙ ИНСТИТУТ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(НАЦИОНАЛЬНЫЙ ИССЛЕДОВАТЕЛЬСКИЙ УНИВЕРСИТЕТ)</w:t>
      </w:r>
    </w:p>
    <w:p>
      <w:pPr>
        <w:pStyle w:val="normal1"/>
        <w:spacing w:lineRule="auto" w:line="360" w:before="56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Институт № 8 «Компьютерные науки и прикладная математика»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Кафедра 806 «Вычислительная математика и программирование»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200" w:after="0"/>
        <w:ind w:hanging="0"/>
        <w:jc w:val="center"/>
        <w:rPr/>
      </w:pPr>
      <w:r>
        <w:rPr>
          <w:rFonts w:eastAsia="Times New Roman"/>
          <w:b/>
          <w:i w:val="false"/>
          <w:sz w:val="32"/>
        </w:rPr>
        <w:t xml:space="preserve">ЛАБОРАТОРНАЯ РАБОТА № </w:t>
      </w:r>
      <w:r>
        <w:rPr>
          <w:rFonts w:eastAsia="Times New Roman"/>
          <w:b/>
          <w:i w:val="false"/>
          <w:sz w:val="32"/>
        </w:rPr>
        <w:t>2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по курсу «Компьютерная графика»</w:t>
      </w:r>
    </w:p>
    <w:p>
      <w:pPr>
        <w:pStyle w:val="normal1"/>
        <w:spacing w:lineRule="auto" w:line="360" w:before="440" w:after="0"/>
        <w:ind w:hanging="0"/>
        <w:jc w:val="center"/>
        <w:rPr/>
      </w:pPr>
      <w:r>
        <w:rPr>
          <w:rFonts w:eastAsia="Times New Roman"/>
          <w:b/>
          <w:i w:val="false"/>
          <w:sz w:val="32"/>
        </w:rPr>
        <w:t>Основы 3D-графики</w:t>
      </w:r>
    </w:p>
    <w:p>
      <w:pPr>
        <w:pStyle w:val="normal1"/>
        <w:spacing w:lineRule="auto" w:line="360" w:before="12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Вариант 8 — цилиндр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end"/>
        <w:rPr/>
      </w:pPr>
      <w:r>
        <w:rPr>
          <w:rFonts w:eastAsia="Times New Roman"/>
          <w:b w:val="false"/>
          <w:i w:val="false"/>
          <w:sz w:val="28"/>
        </w:rPr>
        <w:t>Выполнил: Федосов Д.А.</w:t>
      </w:r>
    </w:p>
    <w:p>
      <w:pPr>
        <w:pStyle w:val="normal1"/>
        <w:spacing w:lineRule="auto" w:line="360" w:before="0" w:after="0"/>
        <w:ind w:hanging="0"/>
        <w:jc w:val="end"/>
        <w:rPr/>
      </w:pPr>
      <w:r>
        <w:rPr>
          <w:rFonts w:eastAsia="Times New Roman"/>
          <w:b w:val="false"/>
          <w:i w:val="false"/>
          <w:sz w:val="28"/>
        </w:rPr>
        <w:t>Группа: М8О-312БВ-24</w:t>
      </w:r>
    </w:p>
    <w:p>
      <w:pPr>
        <w:pStyle w:val="normal1"/>
        <w:spacing w:lineRule="auto" w:line="360" w:before="0" w:after="0"/>
        <w:ind w:hanging="0"/>
        <w:jc w:val="end"/>
        <w:rPr/>
      </w:pPr>
      <w:r>
        <w:rPr>
          <w:rFonts w:eastAsia="Times New Roman"/>
          <w:b w:val="false"/>
          <w:i w:val="false"/>
          <w:sz w:val="28"/>
        </w:rPr>
        <w:t>Преподаватель: В. Д. Бахарев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Москва, 2026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80"/>
        <w:jc w:val="start"/>
        <w:rPr/>
      </w:pPr>
      <w:r>
        <w:rPr>
          <w:rFonts w:eastAsia="Times New Roman"/>
          <w:b/>
          <w:i w:val="false"/>
          <w:sz w:val="28"/>
        </w:rPr>
        <w:t>Цель и задание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 w:ascii="Times New Roman" w:hAnsi="Times New Roman"/>
          <w:b w:val="false"/>
          <w:i w:val="false"/>
          <w:sz w:val="28"/>
        </w:rPr>
        <w:t>Цель работы — реализовать управляемую камеру и динамическое освещение по модели Блинна — Фонга в приложении Vulkan.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Для цилиндра варианта 8 требуется процедурно задать нормали, реализовать направленный свет, массивы точечных источников и прожекторов, а также управление камерой, материалом и освещением через ImGui. Дополнительно необходимо разделить данные сцены и модели на два набора дескрипторов и визуализировать источники. Программа написана на C++ с использованием Vulkan, GLFW, ImGui и GLM.</w:t>
      </w:r>
    </w:p>
    <w:p>
      <w:pPr>
        <w:pStyle w:val="Heading1"/>
        <w:jc w:val="start"/>
        <w:rPr/>
      </w:pPr>
      <w:r>
        <w:rPr>
          <w:rFonts w:eastAsia="Times New Roman"/>
          <w:b/>
          <w:i w:val="false"/>
          <w:sz w:val="28"/>
        </w:rPr>
        <w:t>Метод решения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 w:ascii="Times New Roman" w:hAnsi="Times New Roman"/>
          <w:b w:val="false"/>
          <w:i w:val="false"/>
          <w:sz w:val="28"/>
        </w:rPr>
        <w:t>Геометрия цилиндра строится по 50 сегментам окружности. В формат вершины добавлена нормаль. На боковой поверхности она направлена радиально, на основаниях — вертикально вниз или вверх. Вершины обода оснований дублируются, поскольку нормали крышек и стенки различаются. Итоговая сетка содержит 202 вершины и 600 индексов; общие vertex/index buffers используются тремя экземплярами цилиндра.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Положение камеры задаётся тремя координатами, поворот — углами yaw и pitch. По углам вычисляется направление взгляда, затем матрица вида через glm::lookAt. Поле зрения FOV участвует в перспективной проекции; сохранён ортографический режим. Произведение матриц projection и view записывается в общий uniform buffer сцены.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Набор дескрипторов сцены set 0 содержит uniform buffer с матрицей view-projection, положением камеры, параметрами направленного и фонового света и количеством источников, а также два storage buffer с массивами точечных источников и прожекторов. Набор модели set 1 содержит её матрицу трансформации, альбедо, цвет блика и shininess. Для каждого экземпляра создан собственный буфер модели и descriptor set.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Вершинный шейдер вычисляет мировое положение вершины и координаты в пространстве отсечения. Нормаль преобразуется обратной транспонированной матрицей модели. Мировые координаты, нормаль и цвет передаются фрагментному шейдеру для расчёта освещения.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Для каждого источника фрагментный шейдер вычисляет диффузную и бликовую составляющие Блинна — Фонга. Диффузная часть зависит от скалярного произведения нормали и направления к свету. Для блика нормаль сравнивается с нормализованной суммой направлений к свету и камере; shininess управляет его концентрацией. Фоновая подсветка добавляется один раз с учётом альбедо материала, цвета и интенсивности ambient.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Точечные источники задаются положением, цветом и интенсивностью. Прожекторы дополнительно имеют направление, внутренний и внешний углы. Вклад обоих типов делится на квадрат расстояния. Для прожектора скалярное произведение направлений от источника к фрагменту и вдоль оси сравнивается с косинусами углов. Функция smoothstep создаёт плавное ослабление между внутренней и внешней границами конуса.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Массивы объявлены в GLSL без фиксированной длины. На стороне C++ зарезервирована память для восьми источников каждого типа. Слайдеры количества включают или убирают последние активные элементы; параметры каждого источника редактируются отдельно. Перед кадром массивы копируются в storage buffers и вызывается vmaFlushAllocation.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Источники обозначаются маленькими кубиками собственного цвета. Для прожекторов дополнительно строится ось и каркас внешнего конуса: окружность из 16 отрезков и четыре боковых отрезка. Радиус вычисляется по длине каркаса и тангенсу внешнего угла. На один прожектор приходится 42 вершины линий. Отдельный pipeline использует топологию LINE_LIST, а цвет маркеров и линий выводится без расчёта освещения. Переключатель интерфейса скрывает визуализацию, сохраняя вклад источников в освещение.</w:t>
      </w:r>
    </w:p>
    <w:p>
      <w:pPr>
        <w:pStyle w:val="BodyText"/>
        <w:suppressAutoHyphens w:val="true"/>
        <w:spacing w:lineRule="auto" w:line="360"/>
        <w:ind w:firstLine="709" w:start="0" w:end="0"/>
        <w:jc w:val="both"/>
        <w:rPr>
          <w:rFonts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t>Перед отрисовкой обновляются буферы сцены и моделей. Цилиндры и кубики выводятся через vkCmdDrawIndexed, линии — через vkCmdDraw. Для сцены включена проверка глубины.</w:t>
      </w:r>
    </w:p>
    <w:p>
      <w:pPr>
        <w:pStyle w:val="Heading1"/>
        <w:jc w:val="start"/>
        <w:rPr/>
      </w:pPr>
      <w:r>
        <w:rPr>
          <w:rFonts w:eastAsia="Times New Roman"/>
          <w:b/>
          <w:i w:val="false"/>
          <w:sz w:val="28"/>
        </w:rPr>
        <w:t>Результаты</w:t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  <w:t>Программа отображает три цилиндра с освещением от направленного источника, точечных источников и прожекторов. Интерфейс позволяет перемещать и поворачивать камеру, менять FOV, параметры материала и освещения. Изменение расстояния влияет на силу точечного света, а внутренний и внешний углы прожектора управляют освещённой областью и мягкостью её края.</w:t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-327660</wp:posOffset>
            </wp:positionH>
            <wp:positionV relativeFrom="paragraph">
              <wp:posOffset>6985</wp:posOffset>
            </wp:positionV>
            <wp:extent cx="6234430" cy="43218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30" cy="432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 w:val="false"/>
          <w:i/>
          <w:color w:val="646464"/>
          <w:sz w:val="24"/>
        </w:rPr>
        <w:t xml:space="preserve">Рисунок 1 — </w:t>
      </w:r>
      <w:r>
        <w:rPr>
          <w:rFonts w:eastAsia="Times New Roman"/>
          <w:b w:val="false"/>
          <w:i/>
          <w:color w:val="646464"/>
          <w:sz w:val="24"/>
        </w:rPr>
        <w:t>Изоборажение, полученное в процессе работы</w:t>
      </w:r>
      <w:r>
        <w:rPr>
          <w:rFonts w:eastAsia="Times New Roman"/>
          <w:b w:val="false"/>
          <w:i/>
          <w:color w:val="646464"/>
          <w:sz w:val="24"/>
        </w:rPr>
        <w:t xml:space="preserve"> программы.</w:t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458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 w:val="false"/>
          <w:i/>
          <w:color w:val="646464"/>
          <w:sz w:val="24"/>
        </w:rPr>
        <w:t>Рисунок 2 — Элементы управления.</w:t>
      </w:r>
    </w:p>
    <w:p>
      <w:pPr>
        <w:pStyle w:val="Heading1"/>
        <w:jc w:val="start"/>
        <w:rPr/>
      </w:pPr>
      <w:r>
        <w:rPr>
          <w:rFonts w:eastAsia="Times New Roman"/>
          <w:b/>
          <w:i w:val="false"/>
          <w:sz w:val="28"/>
        </w:rPr>
        <w:t>Вывод</w:t>
      </w:r>
    </w:p>
    <w:p>
      <w:pPr>
        <w:pStyle w:val="normal1"/>
        <w:spacing w:lineRule="auto" w:line="360" w:before="0" w:after="0"/>
        <w:ind w:firstLine="709"/>
        <w:jc w:val="both"/>
        <w:rPr>
          <w:rFonts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  <w:t>В ходе работы реализованы управляемая камера и освещение цилиндров по модели Блинна — Фонга. Данные сцены и моделей разделены на два набора дескрипторов; массивы источников передаются через storage buffers. Добавлены затухание по закону обратных квадратов, мягкие границы прожекторов и отключаемая визуализация источников. Освоены передача параметров освещения в шейдеры и построение вспомогательной геометрии.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200" w:after="80"/>
      <w:ind w:hanging="0"/>
    </w:pPr>
    <w:rPr>
      <w:rFonts w:ascii="Times New Roman" w:hAnsi="Times New Roman" w:eastAsia="Times New Roman"/>
      <w:b/>
      <w:color w:val="000000"/>
      <w:sz w:val="28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120" w:after="40"/>
      <w:ind w:hanging="0"/>
    </w:pPr>
    <w:rPr>
      <w:rFonts w:ascii="Times New Roman" w:hAnsi="Times New Roman" w:eastAsia="Times New Roman"/>
      <w:b/>
      <w:bCs w:val="false"/>
      <w:color w:val="000000"/>
      <w:sz w:val="28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Arial"/>
      <w:color w:val="auto"/>
      <w:kern w:val="0"/>
      <w:sz w:val="28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LibreOffice/26.2.6.1$Linux_X86_64 LibreOffice_project/620$Build-1</Application>
  <AppVersion>15.0000</AppVersion>
  <Pages>5</Pages>
  <Words>621</Words>
  <Characters>4300</Characters>
  <CharactersWithSpaces>4900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Федосов Д.А.</dc:creator>
  <dc:description/>
  <dc:language>en-US</dc:language>
  <cp:lastModifiedBy/>
  <dcterms:modified xsi:type="dcterms:W3CDTF">2026-10-22T18:18:12Z</dcterms:modified>
  <cp:revision>3</cp:revision>
  <dc:subject>Компьютерная графика, вариант 8</dc:subject>
  <dc:title>Лабораторная работа № 1 — Основы 3D-графики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