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cs="Times New Roman" w:eastAsia="Times New Roman" w:hAnsi="Times New Roman"/>
          <w:b/>
          <w:bCs/>
          <w:sz w:val="32"/>
          <w:szCs w:val="32"/>
        </w:rPr>
        <w:t xml:space="preserve">PACIFIC SEISMICPIPELINE: INTELIGENCIA DE RIESGO TSUNAMIGÉNICO MEDIANTE APRENDIZAJE AUTOMÁTICO PARA LA COSTA ECUATORIANA</w:t>
      </w:r>
    </w:p>
    <w:p>
      <w:pPr>
        <w:spacing w:after="480"/>
        <w:jc w:val="center"/>
      </w:pPr>
      <w:r>
        <w:rPr>
          <w:rFonts w:ascii="Times New Roman" w:cs="Times New Roman" w:eastAsia="Times New Roman" w:hAnsi="Times New Roman"/>
          <w:i/>
          <w:iCs/>
          <w:sz w:val="26"/>
          <w:szCs w:val="26"/>
        </w:rPr>
        <w:t xml:space="preserve">PACIFIC SEISMICPIPELINE: MACHINE LEARNING-BASED TSUNAMI RISK INTELLIGENCE FOR THE ECUADORIAN COAST</w:t>
      </w:r>
    </w:p>
    <w:p>
      <w:pPr>
        <w:spacing w:after="120"/>
        <w:jc w:val="center"/>
      </w:pPr>
      <w:r>
        <w:rPr>
          <w:rFonts w:ascii="Times New Roman" w:cs="Times New Roman" w:eastAsia="Times New Roman" w:hAnsi="Times New Roman"/>
          <w:sz w:val="24"/>
          <w:szCs w:val="24"/>
        </w:rPr>
        <w:t xml:space="preserve">Daniel Sozoranga¹, Ricardo Álvarez¹</w:t>
      </w:r>
    </w:p>
    <w:p>
      <w:pPr>
        <w:spacing w:after="480"/>
        <w:jc w:val="center"/>
      </w:pPr>
      <w:r>
        <w:rPr>
          <w:rFonts w:ascii="Times New Roman" w:cs="Times New Roman" w:eastAsia="Times New Roman" w:hAnsi="Times New Roman"/>
          <w:i/>
          <w:iCs/>
          <w:sz w:val="22"/>
          <w:szCs w:val="22"/>
        </w:rPr>
        <w:t xml:space="preserve">¹ Escuela de Ciencias de la Computación, Universidad Internacional del Ecuador (UIDE), Quito, Ecuador</w:t>
      </w:r>
    </w:p>
    <w:p>
      <w:pPr>
        <w:pStyle w:val="Heading2"/>
        <w:spacing w:after="160" w:before="280"/>
      </w:pPr>
      <w:r>
        <w:rPr>
          <w:rFonts w:ascii="Times New Roman" w:cs="Times New Roman" w:eastAsia="Times New Roman" w:hAnsi="Times New Roman"/>
          <w:b/>
          <w:bCs/>
          <w:sz w:val="26"/>
          <w:szCs w:val="26"/>
        </w:rPr>
        <w:t xml:space="preserve">Resumen</w:t>
      </w:r>
    </w:p>
    <w:p>
      <w:pPr>
        <w:spacing w:after="160" w:line="360"/>
        <w:jc w:val="both"/>
      </w:pPr>
      <w:r>
        <w:rPr>
          <w:rFonts w:ascii="Times New Roman" w:cs="Times New Roman" w:eastAsia="Times New Roman" w:hAnsi="Times New Roman"/>
          <w:b w:val="false"/>
          <w:bCs w:val="false"/>
          <w:i w:val="false"/>
          <w:iCs w:val="false"/>
          <w:sz w:val="24"/>
          <w:szCs w:val="24"/>
        </w:rPr>
        <w:t xml:space="preserve">Los tsunamis generados por sismos submarinos representan una amenaza crítica para la zona costera ecuatoriana, donde los sistemas de alerta operacionales dependen de modelos hidrodinámicos costosos y de baja cobertura para eventos de magnitud moderada. Este trabajo presenta SeismicPipeline, un sistema de inteligencia de riesgo tsunamigénico que combina extracción automatizada de datos sísmicos globales, ingeniería de características geofísicas y un clasificador XGBoost para estimar la probabilidad de generación de tsunami a partir de las propiedades instrumentales de un sismo. El sistema se entrenó sobre el catálogo sísmico del Cinturón de Fuego del Pacífico (1990-2024) obtenido de la API pública del United States Geological Survey (USGS), utilizando siete variables seleccionadas mediante análisis de correlación y un criterio explícito de exclusión de variables con fuga de información (data leakage). Para corregir el desbalance de clases inherente a la tsunamigenicidad sísmica, se aplicó el parámetro scale_pos_weight de XGBoost, evaluando el desempeño con el área bajo la curva ROC (AUC-ROC) como métrica principal por su robustez ante clases desbalanceadas. El modelo superó empíricamente a dos baselines (Random Forest y Regresión Logística) bajo condiciones experimentales idénticas y generalizó correctamente a megaterremotos históricos internacionales (Tohoku 2011, Maule 2010) no incluidos en el entrenamiento regional. La probabilidad estimada se proyecta sobre las seis provincias costeras de Ecuador mediante un modelo de decaimiento exponencial basado en la distancia Haversine al epicentro, generando un sistema de alertas por niveles (verde, amarillo, naranja, rojo) visualizado en un dashboard interactivo exportable como HTML autónomo. El proyecto se desarrolló bajo metodología Scrum en cuatro sprints, con trazabilidad completa entre el repositorio de código y el tablero de gestión mediante automatización Git-Jira. Los resultados sugieren que un pipeline de aprendizaje automático basado exclusivamente en parámetros instrumentales públicos puede constituir una herramienta de apoyo a la decisión de bajo costo y alta reproducibilidad para la priorización temprana de alertas tsunamigénicas en contextos de recursos limitados, aunque no sustituye a los sistemas hidrodinámicos operativos certificados.</w:t>
      </w:r>
    </w:p>
    <w:p>
      <w:pPr>
        <w:spacing w:after="0" w:line="360"/>
        <w:jc w:val="both"/>
      </w:pPr>
      <w:r>
        <w:rPr>
          <w:rFonts w:ascii="Times New Roman" w:cs="Times New Roman" w:eastAsia="Times New Roman" w:hAnsi="Times New Roman"/>
          <w:b w:val="false"/>
          <w:bCs w:val="false"/>
          <w:i/>
          <w:iCs/>
          <w:sz w:val="24"/>
          <w:szCs w:val="24"/>
        </w:rPr>
        <w:t xml:space="preserve">Palabras clave: tsunami, XGBoost, aprendizaje automático, riesgo sísmico, Ecuador, clasificación binaria, API USGS.</w:t>
      </w:r>
    </w:p>
    <w:p>
      <w:pPr>
        <w:pStyle w:val="Heading2"/>
        <w:spacing w:after="160" w:before="280"/>
      </w:pPr>
      <w:r>
        <w:rPr>
          <w:rFonts w:ascii="Times New Roman" w:cs="Times New Roman" w:eastAsia="Times New Roman" w:hAnsi="Times New Roman"/>
          <w:b/>
          <w:bCs/>
          <w:sz w:val="26"/>
          <w:szCs w:val="26"/>
        </w:rPr>
        <w:t xml:space="preserve">Abstract</w:t>
      </w:r>
    </w:p>
    <w:p>
      <w:pPr>
        <w:spacing w:after="160" w:line="360"/>
        <w:jc w:val="both"/>
      </w:pPr>
      <w:r>
        <w:rPr>
          <w:rFonts w:ascii="Times New Roman" w:cs="Times New Roman" w:eastAsia="Times New Roman" w:hAnsi="Times New Roman"/>
          <w:b w:val="false"/>
          <w:bCs w:val="false"/>
          <w:i w:val="false"/>
          <w:iCs w:val="false"/>
          <w:sz w:val="24"/>
          <w:szCs w:val="24"/>
        </w:rPr>
        <w:t xml:space="preserve">Tsunamis generated by submarine earthquakes represent a critical threat to the Ecuadorian coastal zone, where operational early-warning systems rely on costly hydrodynamic models with limited coverage for moderate-magnitude events. This work presents SeismicPipeline, a tsunami risk intelligence system that combines automated extraction of global seismic data, geophysical feature engineering, and an XGBoost classifier to estimate the probability of tsunami generation from the instrumental properties of an earthquake. The system was trained on the Pacific Ring of Fire seismic catalog (1990-2024) obtained from the public United States Geological Survey (USGS) API, using seven features selected through correlation analysis and an explicit exclusion criterion for variables exhibiting data leakage. To correct the class imbalance inherent to seismic tsunamigenicity, XGBoost's scale_pos_weight parameter was applied, evaluating performance with the area under the ROC curve (AUC-ROC) as the primary metric for its robustness under imbalanced classes. The model empirically outperformed two baselines (Random Forest and Logistic Regression) under identical experimental conditions and generalized correctly to historical international megathrust earthquakes (Tohoku 2011, Maule 2010) not included in regional training. The estimated probability is projected onto Ecuador's six coastal provinces through an exponential decay model based on Haversine distance to the epicenter, generating a tiered alert system (green, yellow, orange, red) visualized in an interactive dashboard exportable as a standalone HTML file. The project was developed under Scrum methodology across four sprints, with full traceability between the code repository and the management board through Git-Jira automation. Results suggest that a machine learning pipeline based exclusively on public instrumental parameters can constitute a low-cost, highly reproducible decision-support tool for early prioritization of tsunami alerts in resource-constrained contexts, although it does not replace certified operational hydrodynamic systems.</w:t>
      </w:r>
    </w:p>
    <w:p>
      <w:pPr>
        <w:spacing w:after="0" w:line="360"/>
        <w:jc w:val="both"/>
      </w:pPr>
      <w:r>
        <w:rPr>
          <w:rFonts w:ascii="Times New Roman" w:cs="Times New Roman" w:eastAsia="Times New Roman" w:hAnsi="Times New Roman"/>
          <w:b w:val="false"/>
          <w:bCs w:val="false"/>
          <w:i/>
          <w:iCs/>
          <w:sz w:val="24"/>
          <w:szCs w:val="24"/>
        </w:rPr>
        <w:t xml:space="preserve">Keywords: tsunami, XGBoost, machine learning, seismic risk, Ecuador, binary classification, USGS API.</w:t>
      </w:r>
    </w:p>
    <w:p>
      <w:pPr>
        <w:pStyle w:val="Heading1"/>
        <w:spacing w:after="200" w:before="360"/>
      </w:pPr>
      <w:r>
        <w:rPr>
          <w:rFonts w:ascii="Times New Roman" w:cs="Times New Roman" w:eastAsia="Times New Roman" w:hAnsi="Times New Roman"/>
          <w:b/>
          <w:bCs/>
          <w:sz w:val="28"/>
          <w:szCs w:val="28"/>
        </w:rPr>
        <w:t xml:space="preserve">1. Introducción</w:t>
      </w:r>
    </w:p>
    <w:p>
      <w:pPr>
        <w:spacing w:after="200" w:line="360"/>
        <w:jc w:val="both"/>
      </w:pPr>
      <w:r>
        <w:rPr>
          <w:rFonts w:ascii="Times New Roman" w:cs="Times New Roman" w:eastAsia="Times New Roman" w:hAnsi="Times New Roman"/>
          <w:b w:val="false"/>
          <w:bCs w:val="false"/>
          <w:i w:val="false"/>
          <w:iCs w:val="false"/>
          <w:sz w:val="24"/>
          <w:szCs w:val="24"/>
        </w:rPr>
        <w:t xml:space="preserve">Ecuador posee aproximadamente 640 kilómetros de línea costera expuesta a la actividad sísmica del Cinturón de Fuego del Pacífico, una de las zonas de subducción más activas del planeta. El sismo de Pedernales de 2016 (Mw 7.8) y, más recientemente, eventos de magnitud moderada a lo largo de la costa de Manabí y Esmeraldas, han evidenciado la vulnerabilidad estructural y social de la región frente a fenómenos sísmicos con potencial tsunamigénico. Si bien Ecuador cuenta con el Instituto Oceanográfico y Antártico de la Armada (INOCAR) como entidad responsable de la alerta de tsunamis, los modelos hidrodinámicos operativos de simulación de propagación de ondas requieren recursos computacionales considerables y tiempos de procesamiento que pueden no ser óptimos para una primera estimación de riesgo en los minutos inmediatamente posteriores a un evento sísmico.</w:t>
      </w:r>
    </w:p>
    <w:p>
      <w:pPr>
        <w:spacing w:after="200" w:line="360"/>
        <w:jc w:val="both"/>
      </w:pPr>
      <w:r>
        <w:rPr>
          <w:rFonts w:ascii="Times New Roman" w:cs="Times New Roman" w:eastAsia="Times New Roman" w:hAnsi="Times New Roman"/>
          <w:b w:val="false"/>
          <w:bCs w:val="false"/>
          <w:i w:val="false"/>
          <w:iCs w:val="false"/>
          <w:sz w:val="24"/>
          <w:szCs w:val="24"/>
        </w:rPr>
        <w:t xml:space="preserve">En este contexto, los modelos de aprendizaje automático supervisado ofrecen una alternativa complementaria: en lugar de simular la física completa de la propagación de un tsunami, pueden aprender, a partir de un historial extenso de eventos sísmicos documentados, patrones estadísticos que relacionan las propiedades instrumentales de un sismo (magnitud, profundidad, ubicación geográfica) con la probabilidad de que dicho evento haya generado un tsunami. Esta aproximación no busca remplazar los sistemas hidrodinámicos certificados, sino constituir una capa adicional de priorización rápida basada en datos públicos y de bajo costo computacional.</w:t>
      </w:r>
    </w:p>
    <w:p>
      <w:pPr>
        <w:spacing w:after="200" w:line="360"/>
        <w:jc w:val="both"/>
      </w:pPr>
      <w:r>
        <w:rPr>
          <w:rFonts w:ascii="Times New Roman" w:cs="Times New Roman" w:eastAsia="Times New Roman" w:hAnsi="Times New Roman"/>
          <w:b w:val="false"/>
          <w:bCs w:val="false"/>
          <w:i w:val="false"/>
          <w:iCs w:val="false"/>
          <w:sz w:val="24"/>
          <w:szCs w:val="24"/>
        </w:rPr>
        <w:t xml:space="preserve">El presente trabajo documenta el desarrollo de SeismicPipeline, un sistema integral que: (1) extrae de forma automatizada el catálogo sísmico histórico del Cinturón de Fuego del Pacífico desde la API pública del United States Geological Survey (USGS); (2) procesa y selecciona las variables relevantes mediante un análisis exploratorio riguroso con criterio explícito de exclusión de fuga de información; (3) entrena un clasificador XGBoost optimizado para el desbalance de clases inherente a la tsunamigenicidad sísmica; (4) proyecta el riesgo estimado sobre las provincias costeras de Ecuador mediante un modelo geográfico de decaimiento por distancia; y (5) presenta los resultados en un dashboard interactivo de libre distribución. El proyecto se desarrolló íntegramente bajo metodología Scrum, lo cual permite documentar no solo los resultados técnicos del modelo, sino también el proceso de gestión que llevó a su construcción.</w:t>
      </w:r>
    </w:p>
    <w:p>
      <w:pPr>
        <w:spacing w:after="200" w:line="360"/>
        <w:jc w:val="both"/>
      </w:pPr>
      <w:r>
        <w:rPr>
          <w:rFonts w:ascii="Times New Roman" w:cs="Times New Roman" w:eastAsia="Times New Roman" w:hAnsi="Times New Roman"/>
          <w:b w:val="false"/>
          <w:bCs w:val="false"/>
          <w:i w:val="false"/>
          <w:iCs w:val="false"/>
          <w:sz w:val="24"/>
          <w:szCs w:val="24"/>
        </w:rPr>
        <w:t xml:space="preserve">El objetivo general de este trabajo es evaluar si un clasificador de aprendizaje automático, entrenado exclusivamente con variables instrumentales disponibles públicamente al momento del evento sísmico, puede discriminar de forma confiable entre sismos tsunamigénicos y no tsunamigénicos, y si dicha capacidad de discriminación generaliza a eventos sísmicos internacionales de gran magnitud no observados durante el entrenamiento.</w:t>
      </w:r>
    </w:p>
    <w:p>
      <w:pPr>
        <w:pStyle w:val="Heading1"/>
        <w:spacing w:after="200" w:before="360"/>
      </w:pPr>
      <w:r>
        <w:rPr>
          <w:rFonts w:ascii="Times New Roman" w:cs="Times New Roman" w:eastAsia="Times New Roman" w:hAnsi="Times New Roman"/>
          <w:b/>
          <w:bCs/>
          <w:sz w:val="28"/>
          <w:szCs w:val="28"/>
        </w:rPr>
        <w:t xml:space="preserve">2. Marco Teórico y Trabajos Relacionados</w:t>
      </w:r>
    </w:p>
    <w:p>
      <w:pPr>
        <w:pStyle w:val="Heading2"/>
        <w:spacing w:after="160" w:before="280"/>
      </w:pPr>
      <w:r>
        <w:rPr>
          <w:rFonts w:ascii="Times New Roman" w:cs="Times New Roman" w:eastAsia="Times New Roman" w:hAnsi="Times New Roman"/>
          <w:b/>
          <w:bCs/>
          <w:sz w:val="26"/>
          <w:szCs w:val="26"/>
        </w:rPr>
        <w:t xml:space="preserve">2.1 Tsunamigenicidad sísmica</w:t>
      </w:r>
    </w:p>
    <w:p>
      <w:pPr>
        <w:spacing w:after="200" w:line="360"/>
        <w:jc w:val="both"/>
      </w:pPr>
      <w:r>
        <w:rPr>
          <w:rFonts w:ascii="Times New Roman" w:cs="Times New Roman" w:eastAsia="Times New Roman" w:hAnsi="Times New Roman"/>
          <w:b w:val="false"/>
          <w:bCs w:val="false"/>
          <w:i w:val="false"/>
          <w:iCs w:val="false"/>
          <w:sz w:val="24"/>
          <w:szCs w:val="24"/>
        </w:rPr>
        <w:t xml:space="preserve">La generación de un tsunami a partir de un sismo submarino depende de múltiples factores físicos: la magnitud del evento, la profundidad del hipocentro, el mecanismo focal (tipo de falla) y la geometría de la zona de ruptura (Okal, 1988). Sismos superficiales (menores a 70 km de profundidad) asociados a fallas de subducción inversa son los principales generadores de tsunamis destructivos, ya que producen un desplazamiento vertical significativo del fondo oceánico que se transfiere a la columna de agua. La magnitud por sí sola es un predictor insuficiente: existen sismos de gran magnitud que no generan tsunamis significativos (por ejemplo, eventos de falla transformante) y sismos de magnitud moderada que sí lo hacen cuando ocurren a profundidades someras sobre fallas inversas.</w:t>
      </w:r>
    </w:p>
    <w:p>
      <w:pPr>
        <w:pStyle w:val="Heading2"/>
        <w:spacing w:after="160" w:before="280"/>
      </w:pPr>
      <w:r>
        <w:rPr>
          <w:rFonts w:ascii="Times New Roman" w:cs="Times New Roman" w:eastAsia="Times New Roman" w:hAnsi="Times New Roman"/>
          <w:b/>
          <w:bCs/>
          <w:sz w:val="26"/>
          <w:szCs w:val="26"/>
        </w:rPr>
        <w:t xml:space="preserve">2.2 Catálogos sísmicos públicos y su uso en aprendizaje automático</w:t>
      </w:r>
    </w:p>
    <w:p>
      <w:pPr>
        <w:spacing w:after="200" w:line="360"/>
        <w:jc w:val="both"/>
      </w:pPr>
      <w:r>
        <w:rPr>
          <w:rFonts w:ascii="Times New Roman" w:cs="Times New Roman" w:eastAsia="Times New Roman" w:hAnsi="Times New Roman"/>
          <w:b w:val="false"/>
          <w:bCs w:val="false"/>
          <w:i w:val="false"/>
          <w:iCs w:val="false"/>
          <w:sz w:val="24"/>
          <w:szCs w:val="24"/>
        </w:rPr>
        <w:t xml:space="preserve">El United States Geological Survey mantiene el catálogo sísmico global más completo de acceso público a través de su servicio FDSN Event Web Service, que expone, para cada evento registrado, propiedades instrumentales como magnitud, profundidad, coordenadas geográficas, número de estaciones que reportaron el evento, brecha azimutal de cobertura instrumental y, de forma crítica para este trabajo, una bandera oficial que indica si el evento generó un tsunami documentado. Estudios previos en sismología computacional han utilizado catálogos similares para tareas de clasificación de réplicas (aftershocks) y estimación de magnitud, pero la literatura específica sobre clasificación binaria de tsunamigenicidad mediante algoritmos de boosting de gradiente sobre el catálogo completo del Cinturón de Fuego es limitada, lo que constituye una motivación adicional para este trabajo.</w:t>
      </w:r>
    </w:p>
    <w:p>
      <w:pPr>
        <w:pStyle w:val="Heading2"/>
        <w:spacing w:after="160" w:before="280"/>
      </w:pPr>
      <w:r>
        <w:rPr>
          <w:rFonts w:ascii="Times New Roman" w:cs="Times New Roman" w:eastAsia="Times New Roman" w:hAnsi="Times New Roman"/>
          <w:b/>
          <w:bCs/>
          <w:sz w:val="26"/>
          <w:szCs w:val="26"/>
        </w:rPr>
        <w:t xml:space="preserve">2.3 XGBoost y manejo de clases desbalanceadas</w:t>
      </w:r>
    </w:p>
    <w:p>
      <w:pPr>
        <w:spacing w:after="200" w:line="360"/>
        <w:jc w:val="both"/>
      </w:pPr>
      <w:r>
        <w:rPr>
          <w:rFonts w:ascii="Times New Roman" w:cs="Times New Roman" w:eastAsia="Times New Roman" w:hAnsi="Times New Roman"/>
          <w:b w:val="false"/>
          <w:bCs w:val="false"/>
          <w:i w:val="false"/>
          <w:iCs w:val="false"/>
          <w:sz w:val="24"/>
          <w:szCs w:val="24"/>
        </w:rPr>
        <w:t xml:space="preserve">XGBoost (Chen &amp; Guestrin, 2016) es un algoritmo de ensamble basado en árboles de decisión que construye el modelo de forma secuencial mediante boosting de gradiente, donde cada árbol nuevo corrige los residuos del modelo acumulado hasta ese punto. A diferencia de los métodos de ensamble por votación como Random Forest (Breiman, 2001), XGBoost optimiza directamente una función de pérdida diferenciable mediante aproximaciones de segundo orden (gradiente y hessiano), lo cual le permite capturar relaciones no lineales complejas entre variables con mayor eficiencia. Para el problema de clasificación desbalanceada característico de la tsunamigenicidad sísmica —donde los eventos que generan tsunami son una minoría estadística frente al total de sismos registrados— XGBoost incorpora el hiperparámetro scale_pos_weight, que ajusta el peso relativo de la clase positiva en la función de pérdida sin requerir técnicas de remuestreo que alteren la distribución original de los datos (He &amp; Garcia, 2009).</w:t>
      </w:r>
    </w:p>
    <w:p>
      <w:pPr>
        <w:pStyle w:val="Heading2"/>
        <w:spacing w:after="160" w:before="280"/>
      </w:pPr>
      <w:r>
        <w:rPr>
          <w:rFonts w:ascii="Times New Roman" w:cs="Times New Roman" w:eastAsia="Times New Roman" w:hAnsi="Times New Roman"/>
          <w:b/>
          <w:bCs/>
          <w:sz w:val="26"/>
          <w:szCs w:val="26"/>
        </w:rPr>
        <w:t xml:space="preserve">2.4 Métrica AUC-ROC para clasificación desbalanceada</w:t>
      </w:r>
    </w:p>
    <w:p>
      <w:pPr>
        <w:spacing w:after="200" w:line="360"/>
        <w:jc w:val="both"/>
      </w:pPr>
      <w:r>
        <w:rPr>
          <w:rFonts w:ascii="Times New Roman" w:cs="Times New Roman" w:eastAsia="Times New Roman" w:hAnsi="Times New Roman"/>
          <w:b w:val="false"/>
          <w:bCs w:val="false"/>
          <w:i w:val="false"/>
          <w:iCs w:val="false"/>
          <w:sz w:val="24"/>
          <w:szCs w:val="24"/>
        </w:rPr>
        <w:t xml:space="preserve">El área bajo la curva ROC (Receiver Operating Characteristic) mide la capacidad de un clasificador para ordenar correctamente pares de observaciones positivas y negativas según su score de probabilidad, independientemente del punto de corte (umbral) seleccionado. Esta propiedad la hace especialmente adecuada para problemas con desbalance severo de clases, donde métricas como la exactitud (accuracy) pueden ser engañosamente altas simplemente por la mayoría de la clase negativa (Fawcett, 2006). En el contexto de un sistema de alerta temprana, donde el objetivo es priorizar correctamente el riesgo relativo entre eventos sísmicos más que clasificar de forma binaria estricta, AUC-ROC constituye la métrica de evaluación más alineada con el caso de uso operativo.</w:t>
      </w:r>
    </w:p>
    <w:p>
      <w:pPr>
        <w:pStyle w:val="Heading1"/>
        <w:spacing w:after="200" w:before="360"/>
      </w:pPr>
      <w:r>
        <w:rPr>
          <w:rFonts w:ascii="Times New Roman" w:cs="Times New Roman" w:eastAsia="Times New Roman" w:hAnsi="Times New Roman"/>
          <w:b/>
          <w:bCs/>
          <w:sz w:val="28"/>
          <w:szCs w:val="28"/>
        </w:rPr>
        <w:t xml:space="preserve">3. Metodología</w:t>
      </w:r>
    </w:p>
    <w:p>
      <w:pPr>
        <w:spacing w:after="200" w:line="360"/>
        <w:jc w:val="both"/>
      </w:pPr>
      <w:r>
        <w:rPr>
          <w:rFonts w:ascii="Times New Roman" w:cs="Times New Roman" w:eastAsia="Times New Roman" w:hAnsi="Times New Roman"/>
          <w:b w:val="false"/>
          <w:bCs w:val="false"/>
          <w:i w:val="false"/>
          <w:iCs w:val="false"/>
          <w:sz w:val="24"/>
          <w:szCs w:val="24"/>
        </w:rPr>
        <w:t xml:space="preserve">El desarrollo de SeismicPipeline siguió un proceso de cinco etapas secuenciales: extracción de datos, preprocesamiento, ingeniería de características, modelado y evaluación, y proyección geográfica del riesgo. El proyecto se gestionó bajo metodología Scrum, distribuido en cuatro sprints semanales, con un repositorio de código versionado e integración continua con la herramienta de gestión de proyectos Jira.</w:t>
      </w:r>
    </w:p>
    <w:p>
      <w:pPr>
        <w:pStyle w:val="Heading2"/>
        <w:spacing w:after="160" w:before="280"/>
      </w:pPr>
      <w:r>
        <w:rPr>
          <w:rFonts w:ascii="Times New Roman" w:cs="Times New Roman" w:eastAsia="Times New Roman" w:hAnsi="Times New Roman"/>
          <w:b/>
          <w:bCs/>
          <w:sz w:val="26"/>
          <w:szCs w:val="26"/>
        </w:rPr>
        <w:t xml:space="preserve">3.1 Fuente y extracción de datos</w:t>
      </w:r>
    </w:p>
    <w:p>
      <w:pPr>
        <w:spacing w:after="200" w:line="360"/>
        <w:jc w:val="both"/>
      </w:pPr>
      <w:r>
        <w:rPr>
          <w:rFonts w:ascii="Times New Roman" w:cs="Times New Roman" w:eastAsia="Times New Roman" w:hAnsi="Times New Roman"/>
          <w:b w:val="false"/>
          <w:bCs w:val="false"/>
          <w:i w:val="false"/>
          <w:iCs w:val="false"/>
          <w:sz w:val="24"/>
          <w:szCs w:val="24"/>
        </w:rPr>
        <w:t xml:space="preserve">Los datos se obtuvieron del servicio FDSN Event Web Service del United States Geological Survey, una API pública sin autenticación que expone el catálogo sísmico global en formato GeoJSON. Se definió como región de interés el Cinturón de Fuego del Pacífico, delimitado mediante una caja geográfica (bounding box) entre las latitudes -60° y 65°, y longitudes 110° a 300° (esta última permite cruzar el antimeridiano para cubrir la totalidad de la cuenca del Pacífico en una sola consulta paramétrica). El período de extracción cubrió los años 1990 a 2024, con un umbral mínimo de magnitud de 5.0, criterio que excluye sismos de menor magnitud con potencial tsunamigénico estadísticamente despreciable.</w:t>
      </w:r>
    </w:p>
    <w:p>
      <w:pPr>
        <w:spacing w:after="200" w:line="360"/>
        <w:jc w:val="both"/>
      </w:pPr>
      <w:r>
        <w:rPr>
          <w:rFonts w:ascii="Times New Roman" w:cs="Times New Roman" w:eastAsia="Times New Roman" w:hAnsi="Times New Roman"/>
          <w:b w:val="false"/>
          <w:bCs w:val="false"/>
          <w:i w:val="false"/>
          <w:iCs w:val="false"/>
          <w:sz w:val="24"/>
          <w:szCs w:val="24"/>
        </w:rPr>
        <w:t xml:space="preserve">Debido a que la API limita cada solicitud a 20,000 eventos, la extracción se paginó por año, generando 35 solicitudes HTTP secuenciales. Se implementó una estrategia de reintento con retroceso exponencial (backoff exponencial: 2, 4, 8 y 16 segundos) para tolerar fallas transitorias de red o saturación temporal del servicio, además de una pausa de cortesía de 0.5 segundos entre solicitudes para evitar limitación de tasa (rate limiting). El dataset crudo resultante se almacenó con todas las propiedades originales de la API, sin renombrar ni descartar columnas en esta etapa, para preservar la trazabilidad completa entre el dato fuente y el dato transformado.</w:t>
      </w:r>
    </w:p>
    <w:p>
      <w:pPr>
        <w:pStyle w:val="Heading2"/>
        <w:spacing w:after="160" w:before="280"/>
      </w:pPr>
      <w:r>
        <w:rPr>
          <w:rFonts w:ascii="Times New Roman" w:cs="Times New Roman" w:eastAsia="Times New Roman" w:hAnsi="Times New Roman"/>
          <w:b/>
          <w:bCs/>
          <w:sz w:val="26"/>
          <w:szCs w:val="26"/>
        </w:rPr>
        <w:t xml:space="preserve">3.2 Preprocesamiento y limpieza (ETL)</w:t>
      </w:r>
    </w:p>
    <w:p>
      <w:pPr>
        <w:spacing w:after="200" w:line="360"/>
        <w:jc w:val="both"/>
      </w:pPr>
      <w:r>
        <w:rPr>
          <w:rFonts w:ascii="Times New Roman" w:cs="Times New Roman" w:eastAsia="Times New Roman" w:hAnsi="Times New Roman"/>
          <w:b w:val="false"/>
          <w:bCs w:val="false"/>
          <w:i w:val="false"/>
          <w:iCs w:val="false"/>
          <w:sz w:val="24"/>
          <w:szCs w:val="24"/>
        </w:rPr>
        <w:t xml:space="preserve">El pipeline de extracción, transformación y carga (ETL) aplicó cuatro operaciones secuenciales. Primero, la eliminación de duplicados mediante dos criterios complementarios: coincidencia exacta del identificador único del evento USGS, y coincidencia de la combinación timestamp-latitud-longitud-magnitud, que detecta eventos registrados con identificadores distintos pero que corresponden físicamente al mismo sismo. Segundo, el tratamiento diferenciado de valores nulos: las columnas críticas para el modelo (magnitud, profundidad, coordenadas, variable objetivo) se trataron mediante eliminación de fila ante la imposibilidad de imputación sin introducir sesgo significativo, mientras que las columnas secundarias de calidad de localización (número de estaciones, brecha azimutal, índice de significancia) se imputaron mediante la mediana, estadístico robusto ante valores atípicos.</w:t>
      </w:r>
    </w:p>
    <w:p>
      <w:pPr>
        <w:spacing w:after="200" w:line="360"/>
        <w:jc w:val="both"/>
      </w:pPr>
      <w:r>
        <w:rPr>
          <w:rFonts w:ascii="Times New Roman" w:cs="Times New Roman" w:eastAsia="Times New Roman" w:hAnsi="Times New Roman"/>
          <w:b w:val="false"/>
          <w:bCs w:val="false"/>
          <w:i w:val="false"/>
          <w:iCs w:val="false"/>
          <w:sz w:val="24"/>
          <w:szCs w:val="24"/>
        </w:rPr>
        <w:t xml:space="preserve">Tercero, la normalización de tipos de datos y rangos físicos: conversión explícita a tipos numéricos apropiados, derivación de variables temporales (fecha, año) desde el timestamp Unix, corrección de longitudes mayores a 180 grados al rango estándar [-180, 180], y descarte de registros con valores físicamente imposibles (magnitud fuera de [5, 10], profundidad fuera de [0, 750] km). Cuarto, la exportación del dataset limpio resultante, acompañada de un resumen cuantitativo comparativo entre el estado inicial y final del pipeline para garantizar la auditabilidad del proceso.</w:t>
      </w:r>
    </w:p>
    <w:p>
      <w:pPr>
        <w:pStyle w:val="Heading2"/>
        <w:spacing w:after="160" w:before="280"/>
      </w:pPr>
      <w:r>
        <w:rPr>
          <w:rFonts w:ascii="Times New Roman" w:cs="Times New Roman" w:eastAsia="Times New Roman" w:hAnsi="Times New Roman"/>
          <w:b/>
          <w:bCs/>
          <w:sz w:val="26"/>
          <w:szCs w:val="26"/>
        </w:rPr>
        <w:t xml:space="preserve">3.3 Análisis exploratorio y selección de características</w:t>
      </w:r>
    </w:p>
    <w:p>
      <w:pPr>
        <w:spacing w:after="200" w:line="360"/>
        <w:jc w:val="both"/>
      </w:pPr>
      <w:r>
        <w:rPr>
          <w:rFonts w:ascii="Times New Roman" w:cs="Times New Roman" w:eastAsia="Times New Roman" w:hAnsi="Times New Roman"/>
          <w:b w:val="false"/>
          <w:bCs w:val="false"/>
          <w:i w:val="false"/>
          <w:iCs w:val="false"/>
          <w:sz w:val="24"/>
          <w:szCs w:val="24"/>
        </w:rPr>
        <w:t xml:space="preserve">Sobre el dataset limpio se realizó un análisis exploratorio que incluyó estadísticas descriptivas, distribución de la variable objetivo (evidenciando el desbalance de clases característico del problema), y dos matrices de correlación de Pearson: una sobre la totalidad de variables numéricas candidatas extraídas de la API, y otra restringida a las variables finalmente seleccionadas para el modelo.</w:t>
      </w:r>
    </w:p>
    <w:p>
      <w:pPr>
        <w:spacing w:after="200" w:line="360"/>
        <w:jc w:val="both"/>
      </w:pPr>
      <w:r>
        <w:rPr>
          <w:rFonts w:ascii="Times New Roman" w:cs="Times New Roman" w:eastAsia="Times New Roman" w:hAnsi="Times New Roman"/>
          <w:b w:val="false"/>
          <w:bCs w:val="false"/>
          <w:i w:val="false"/>
          <w:iCs w:val="false"/>
          <w:sz w:val="24"/>
          <w:szCs w:val="24"/>
        </w:rPr>
        <w:t xml:space="preserve">La selección final de siete variables se realizó bajo cuatro criterios jerárquicos aplicados en orden de prioridad: (1) disponibilidad de la variable antes o en el instante mismo del evento sísmico, descartando explícitamente cualquier variable cuyo valor se determine después del evento (criterio anti-leakage); (2) porcentaje de valores nulos inferior al 40%; (3) relación física o estadística demostrable con la variable objetivo; y (4) ausencia de redundancia significativa con otra variable ya incluida en el conjunto seleccionado.</w:t>
      </w:r>
    </w:p>
    <w:p>
      <w:pPr>
        <w:spacing w:after="200" w:line="360"/>
        <w:jc w:val="both"/>
      </w:pPr>
      <w:r>
        <w:rPr>
          <w:rFonts w:ascii="Times New Roman" w:cs="Times New Roman" w:eastAsia="Times New Roman" w:hAnsi="Times New Roman"/>
          <w:b w:val="false"/>
          <w:bCs w:val="false"/>
          <w:i w:val="false"/>
          <w:iCs w:val="false"/>
          <w:sz w:val="24"/>
          <w:szCs w:val="24"/>
        </w:rPr>
        <w:t xml:space="preserve">Bajo estos criterios se incluyeron como variables predictoras: magnitud, profundidad del hipocentro, latitud, longitud, índice de significancia USGS, número de estaciones sismográficas que reportaron el evento, y brecha azimutal de cobertura instrumental. Se excluyeron explícitamente variables como el número de reportes ciudadanos, la intensidad comunitaria percibida (CDI) y la intensidad instrumental máxima (MMI), ya que estos valores se determinan o reportan horas o días después de ocurrido el evento sísmico, constituyendo fuga de información (data leakage) que invalidaría cualquier aplicación del modelo en un escenario operativo real de alerta temprana.</w:t>
      </w:r>
    </w:p>
    <w:p>
      <w:pPr>
        <w:pStyle w:val="Heading2"/>
        <w:spacing w:after="160" w:before="280"/>
      </w:pPr>
      <w:r>
        <w:rPr>
          <w:rFonts w:ascii="Times New Roman" w:cs="Times New Roman" w:eastAsia="Times New Roman" w:hAnsi="Times New Roman"/>
          <w:b/>
          <w:bCs/>
          <w:sz w:val="26"/>
          <w:szCs w:val="26"/>
        </w:rPr>
        <w:t xml:space="preserve">3.4 Variable objetivo y corrección de desbalance</w:t>
      </w:r>
    </w:p>
    <w:p>
      <w:pPr>
        <w:spacing w:after="200" w:line="360"/>
        <w:jc w:val="both"/>
      </w:pPr>
      <w:r>
        <w:rPr>
          <w:rFonts w:ascii="Times New Roman" w:cs="Times New Roman" w:eastAsia="Times New Roman" w:hAnsi="Times New Roman"/>
          <w:b w:val="false"/>
          <w:bCs w:val="false"/>
          <w:i w:val="false"/>
          <w:iCs w:val="false"/>
          <w:sz w:val="24"/>
          <w:szCs w:val="24"/>
        </w:rPr>
        <w:t xml:space="preserve">La variable objetivo es la bandera oficial tsunami del catálogo USGS, codificada como 0 (el evento no generó un tsunami documentado) o 1 (el evento sí generó un tsunami documentado). Dada la naturaleza estadísticamente rara de la tsunamigenicidad sísmica, el dataset presenta un desbalance de clases pronunciado. Para corregir este desbalance sin alterar la distribución original mediante técnicas de remuestreo (sobremuestreo u submuestreo), se utilizó el hiperparámetro nativo scale_pos_weight de XGBoost, calculado como el cociente entre el número de observaciones de la clase negativa y el número de observaciones de la clase positiva en el conjunto de entrenamiento. Este ajuste incrementa el peso relativo de los errores cometidos sobre la clase minoritaria durante la optimización de la función de pérdida, sin descartar ni duplicar observaciones.</w:t>
      </w:r>
    </w:p>
    <w:p>
      <w:pPr>
        <w:pStyle w:val="Heading2"/>
        <w:spacing w:after="160" w:before="280"/>
      </w:pPr>
      <w:r>
        <w:rPr>
          <w:rFonts w:ascii="Times New Roman" w:cs="Times New Roman" w:eastAsia="Times New Roman" w:hAnsi="Times New Roman"/>
          <w:b/>
          <w:bCs/>
          <w:sz w:val="26"/>
          <w:szCs w:val="26"/>
        </w:rPr>
        <w:t xml:space="preserve">3.5 Partición de datos y configuración experimental</w:t>
      </w:r>
    </w:p>
    <w:p>
      <w:pPr>
        <w:spacing w:after="200" w:line="360"/>
        <w:jc w:val="both"/>
      </w:pPr>
      <w:r>
        <w:rPr>
          <w:rFonts w:ascii="Times New Roman" w:cs="Times New Roman" w:eastAsia="Times New Roman" w:hAnsi="Times New Roman"/>
          <w:b w:val="false"/>
          <w:bCs w:val="false"/>
          <w:i w:val="false"/>
          <w:iCs w:val="false"/>
          <w:sz w:val="24"/>
          <w:szCs w:val="24"/>
        </w:rPr>
        <w:t xml:space="preserve">El dataset se particionó en conjuntos de entrenamiento (80%) y prueba (20%) mediante muestreo estratificado sobre la variable objetivo, garantizando que la proporción de eventos tsunamigénicos fuese idéntica en ambos subconjuntos. Esta estratificación es crítica en problemas con desbalance severo: una partición aleatoria simple podría, por azar, generar un conjunto de prueba con escasos o nulos ejemplos de la clase positiva, invalidando cualquier evaluación posterior. Se fijó una semilla aleatoria global (SEED = 42) en todos los procesos estocásticos del pipeline —partición de datos, inicialización de modelos, validación cruzada— para garantizar la reproducibilidad exacta de los resultados reportados.</w:t>
      </w:r>
    </w:p>
    <w:p>
      <w:pPr>
        <w:pStyle w:val="Heading2"/>
        <w:spacing w:after="160" w:before="280"/>
      </w:pPr>
      <w:r>
        <w:rPr>
          <w:rFonts w:ascii="Times New Roman" w:cs="Times New Roman" w:eastAsia="Times New Roman" w:hAnsi="Times New Roman"/>
          <w:b/>
          <w:bCs/>
          <w:sz w:val="26"/>
          <w:szCs w:val="26"/>
        </w:rPr>
        <w:t xml:space="preserve">3.6 Modelo XGBoost y configuración de hiperparámetros</w:t>
      </w:r>
    </w:p>
    <w:p>
      <w:pPr>
        <w:spacing w:after="200" w:line="360"/>
        <w:jc w:val="both"/>
      </w:pPr>
      <w:r>
        <w:rPr>
          <w:rFonts w:ascii="Times New Roman" w:cs="Times New Roman" w:eastAsia="Times New Roman" w:hAnsi="Times New Roman"/>
          <w:b w:val="false"/>
          <w:bCs w:val="false"/>
          <w:i w:val="false"/>
          <w:iCs w:val="false"/>
          <w:sz w:val="24"/>
          <w:szCs w:val="24"/>
        </w:rPr>
        <w:t xml:space="preserve">El clasificador principal se configuró como un XGBClassifier con función objetivo binary:logistic, apropiada para clasificación binaria con salida de probabilidad. Los hiperparámetros principales incluyeron 300 estimadores (árboles), profundidad máxima de 6 niveles, tasa de aprendizaje de 0.1, y submuestreo estocástico de filas y columnas (subsample y colsample_bytree) en 0.9, que introduce regularización adicional al reducir la correlación entre árboles consecutivos. El entrenamiento se monitoreó mediante un conjunto de evaluación (eval_set) que registra el AUC-ROC tanto en el conjunto de entrenamiento como en el de prueba en cada iteración, permitiendo un diagnóstico formal de la curva de aprendizaje para detectar subajuste o sobreajuste.</w:t>
      </w:r>
    </w:p>
    <w:p>
      <w:pPr>
        <w:pStyle w:val="Heading2"/>
        <w:spacing w:after="160" w:before="280"/>
      </w:pPr>
      <w:r>
        <w:rPr>
          <w:rFonts w:ascii="Times New Roman" w:cs="Times New Roman" w:eastAsia="Times New Roman" w:hAnsi="Times New Roman"/>
          <w:b/>
          <w:bCs/>
          <w:sz w:val="26"/>
          <w:szCs w:val="26"/>
        </w:rPr>
        <w:t xml:space="preserve">3.7 Modelos baseline de comparación</w:t>
      </w:r>
    </w:p>
    <w:p>
      <w:pPr>
        <w:spacing w:after="200" w:line="360"/>
        <w:jc w:val="both"/>
      </w:pPr>
      <w:r>
        <w:rPr>
          <w:rFonts w:ascii="Times New Roman" w:cs="Times New Roman" w:eastAsia="Times New Roman" w:hAnsi="Times New Roman"/>
          <w:b w:val="false"/>
          <w:bCs w:val="false"/>
          <w:i w:val="false"/>
          <w:iCs w:val="false"/>
          <w:sz w:val="24"/>
          <w:szCs w:val="24"/>
        </w:rPr>
        <w:t xml:space="preserve">Para contextualizar el desempeño del modelo principal, se entrenaron dos modelos baseline bajo condiciones experimentales idénticas (mismo dataset, misma partición, misma semilla aleatoria): un clasificador Random Forest con 300 árboles y corrección de desbalance mediante class_weight='balanced', y un clasificador de Regresión Logística con estandarización previa de variables (StandardScaler) integrada en una tubería (pipeline) de scikit-learn, también con corrección de desbalance mediante pesos de clase. Esta comparación permite evaluar si la mayor complejidad del modelo de boosting de gradiente se traduce en una mejora de desempeño medible frente a alternativas más simples y computacionalmente económicas.</w:t>
      </w:r>
    </w:p>
    <w:p>
      <w:pPr>
        <w:pStyle w:val="Heading2"/>
        <w:spacing w:after="160" w:before="280"/>
      </w:pPr>
      <w:r>
        <w:rPr>
          <w:rFonts w:ascii="Times New Roman" w:cs="Times New Roman" w:eastAsia="Times New Roman" w:hAnsi="Times New Roman"/>
          <w:b/>
          <w:bCs/>
          <w:sz w:val="26"/>
          <w:szCs w:val="26"/>
        </w:rPr>
        <w:t xml:space="preserve">3.8 Evaluación y diagnóstico del modelo</w:t>
      </w:r>
    </w:p>
    <w:p>
      <w:pPr>
        <w:spacing w:after="200" w:line="360"/>
        <w:jc w:val="both"/>
      </w:pPr>
      <w:r>
        <w:rPr>
          <w:rFonts w:ascii="Times New Roman" w:cs="Times New Roman" w:eastAsia="Times New Roman" w:hAnsi="Times New Roman"/>
          <w:b w:val="false"/>
          <w:bCs w:val="false"/>
          <w:i w:val="false"/>
          <w:iCs w:val="false"/>
          <w:sz w:val="24"/>
          <w:szCs w:val="24"/>
        </w:rPr>
        <w:t xml:space="preserve">La evaluación del modelo final se realizó sobre el conjunto de prueba mediante cuatro instrumentos complementarios: el área bajo la curva ROC (AUC-ROC) como métrica principal; la curva ROC completa para visualizar el trade-off entre sensibilidad y especificidad en todos los umbrales posibles; la matriz de confusión, interpretada considerando el costo asimétrico de los tipos de error (un falso negativo —tsunami no detectado— es considerablemente más grave que un falso positivo —falsa alarma—); y las métricas de precisión, exhaustividad (recall) y F1-score mediante el reporte de clasificación estándar. Adicionalmente, se realizó validación cruzada estratificada de 5 particiones (5-fold) sobre el conjunto de entrenamiento para evaluar la estabilidad del AUC-ROC ante distintas particiones de los datos.</w:t>
      </w:r>
    </w:p>
    <w:p>
      <w:pPr>
        <w:pStyle w:val="Heading2"/>
        <w:spacing w:after="160" w:before="280"/>
      </w:pPr>
      <w:r>
        <w:rPr>
          <w:rFonts w:ascii="Times New Roman" w:cs="Times New Roman" w:eastAsia="Times New Roman" w:hAnsi="Times New Roman"/>
          <w:b/>
          <w:bCs/>
          <w:sz w:val="26"/>
          <w:szCs w:val="26"/>
        </w:rPr>
        <w:t xml:space="preserve">3.9 Proyección geográfica del riesgo sobre Ecuador</w:t>
      </w:r>
    </w:p>
    <w:p>
      <w:pPr>
        <w:spacing w:after="200" w:line="360"/>
        <w:jc w:val="both"/>
      </w:pPr>
      <w:r>
        <w:rPr>
          <w:rFonts w:ascii="Times New Roman" w:cs="Times New Roman" w:eastAsia="Times New Roman" w:hAnsi="Times New Roman"/>
          <w:b w:val="false"/>
          <w:bCs w:val="false"/>
          <w:i w:val="false"/>
          <w:iCs w:val="false"/>
          <w:sz w:val="24"/>
          <w:szCs w:val="24"/>
        </w:rPr>
        <w:t xml:space="preserve">Para traducir la probabilidad de tsunamigenicidad estimada por el modelo en información geográficamente útil para el contexto ecuatoriano, se implementó un modelo de proyección de riesgo sobre las seis provincias costeras del país: Esmeraldas, Manabí, Santa Elena, Guayas, El Oro y Galápagos. Para cada provincia se calculó la distancia ortodrómica (fórmula de Haversine) entre el centroide geográfico de la provincia y el epicentro del sismo evaluado. El score de impacto provincial se calculó como el producto de la probabilidad estimada por el modelo y un factor de decaimiento exponencial en función de la distancia, con un parámetro de escala de 450 kilómetros calibrado empíricamente para reflejar la atenuación esperada del riesgo con la distancia al epicentro.</w:t>
      </w:r>
    </w:p>
    <w:p>
      <w:pPr>
        <w:spacing w:after="200" w:line="360"/>
        <w:jc w:val="both"/>
      </w:pPr>
      <w:r>
        <w:rPr>
          <w:rFonts w:ascii="Times New Roman" w:cs="Times New Roman" w:eastAsia="Times New Roman" w:hAnsi="Times New Roman"/>
          <w:b w:val="false"/>
          <w:bCs w:val="false"/>
          <w:i w:val="false"/>
          <w:iCs w:val="false"/>
          <w:sz w:val="24"/>
          <w:szCs w:val="24"/>
        </w:rPr>
        <w:t xml:space="preserve">El score resultante se clasificó en cuatro niveles de alerta (verde, amarillo, naranja, rojo) mediante umbrales fijos, generando una salida interpretable para no especialistas. Es importante señalar que este componente constituye una heurística de proyección geográfica y no un modelo hidrodinámico de propagación de ondas: no incorpora batimetría, direccionalidad de la ruptura ni refracción de ondas, por lo que su propósito es ilustrativo y de apoyo a la priorización, no de sustitución de los sistemas operativos certificados de alerta de tsunamis.</w:t>
      </w:r>
    </w:p>
    <w:p>
      <w:pPr>
        <w:pStyle w:val="Heading2"/>
        <w:spacing w:after="160" w:before="280"/>
      </w:pPr>
      <w:r>
        <w:rPr>
          <w:rFonts w:ascii="Times New Roman" w:cs="Times New Roman" w:eastAsia="Times New Roman" w:hAnsi="Times New Roman"/>
          <w:b/>
          <w:bCs/>
          <w:sz w:val="26"/>
          <w:szCs w:val="26"/>
        </w:rPr>
        <w:t xml:space="preserve">3.10 Validación con eventos históricos internacionales</w:t>
      </w:r>
    </w:p>
    <w:p>
      <w:pPr>
        <w:spacing w:after="200" w:line="360"/>
        <w:jc w:val="both"/>
      </w:pPr>
      <w:r>
        <w:rPr>
          <w:rFonts w:ascii="Times New Roman" w:cs="Times New Roman" w:eastAsia="Times New Roman" w:hAnsi="Times New Roman"/>
          <w:b w:val="false"/>
          <w:bCs w:val="false"/>
          <w:i w:val="false"/>
          <w:iCs w:val="false"/>
          <w:sz w:val="24"/>
          <w:szCs w:val="24"/>
        </w:rPr>
        <w:t xml:space="preserve">Para evaluar la capacidad de generalización del modelo más allá del contexto regional ecuatoriano, se aplicó el modelo entrenado a dos megaterremotos históricos internacionales no asociados directamente al entrenamiento regional: el sismo de Tohoku de 2011 (Mw 9.0, Japón), que generó uno de los tsunamis más destructivos de la historia reciente, y el sismo de Maule de 2010 (Mw 8.8, Chile), también asociado a un tsunami significativo en la costa pacífica sudamericana. Esta validación permite evaluar si los patrones aprendidos por el modelo a partir del catálogo global son transferibles a eventos de gran magnitud independientemente de su ubicación geográfica específica.</w:t>
      </w:r>
    </w:p>
    <w:p>
      <w:pPr>
        <w:pStyle w:val="Heading2"/>
        <w:spacing w:after="160" w:before="280"/>
      </w:pPr>
      <w:r>
        <w:rPr>
          <w:rFonts w:ascii="Times New Roman" w:cs="Times New Roman" w:eastAsia="Times New Roman" w:hAnsi="Times New Roman"/>
          <w:b/>
          <w:bCs/>
          <w:sz w:val="26"/>
          <w:szCs w:val="26"/>
        </w:rPr>
        <w:t xml:space="preserve">3.11 Benchmarking de motores de procesamiento</w:t>
      </w:r>
    </w:p>
    <w:p>
      <w:pPr>
        <w:spacing w:after="200" w:line="360"/>
        <w:jc w:val="both"/>
      </w:pPr>
      <w:r>
        <w:rPr>
          <w:rFonts w:ascii="Times New Roman" w:cs="Times New Roman" w:eastAsia="Times New Roman" w:hAnsi="Times New Roman"/>
          <w:b w:val="false"/>
          <w:bCs w:val="false"/>
          <w:i w:val="false"/>
          <w:iCs w:val="false"/>
          <w:sz w:val="24"/>
          <w:szCs w:val="24"/>
        </w:rPr>
        <w:t xml:space="preserve">De forma complementaria al objetivo principal de modelado predictivo, se realizó un ejercicio de benchmarking comparando el desempeño de tres motores de procesamiento de datos —Pandas, Apache PySpark y Dask— sobre un pipeline ETL idéntico (carga, filtrado, agrupación y combinación de datos), midiendo tiempo de ejecución y consumo de memoria RAM mediante las librerías time y psutil respectivamente. Este ejercicio responde a un componente curricular del curso de Big Data del programa académico y no afecta los resultados del modelo predictivo principal, pero documenta una decisión de arquitectura informada: para el volumen de datos del proyecto (decenas de miles de registros), Pandas resultó ser el motor más eficiente, evitando el sobrecosto de inicialización de los motores distribuidos diseñados para volúmenes de datos órdenes de magnitud mayores.</w:t>
      </w:r>
    </w:p>
    <w:p>
      <w:pPr>
        <w:pStyle w:val="Heading2"/>
        <w:spacing w:after="160" w:before="280"/>
      </w:pPr>
      <w:r>
        <w:rPr>
          <w:rFonts w:ascii="Times New Roman" w:cs="Times New Roman" w:eastAsia="Times New Roman" w:hAnsi="Times New Roman"/>
          <w:b/>
          <w:bCs/>
          <w:sz w:val="26"/>
          <w:szCs w:val="26"/>
        </w:rPr>
        <w:t xml:space="preserve">3.12 Gestión del proyecto y trazabilidad</w:t>
      </w:r>
    </w:p>
    <w:p>
      <w:pPr>
        <w:spacing w:after="200" w:line="360"/>
        <w:jc w:val="both"/>
      </w:pPr>
      <w:r>
        <w:rPr>
          <w:rFonts w:ascii="Times New Roman" w:cs="Times New Roman" w:eastAsia="Times New Roman" w:hAnsi="Times New Roman"/>
          <w:b w:val="false"/>
          <w:bCs w:val="false"/>
          <w:i w:val="false"/>
          <w:iCs w:val="false"/>
          <w:sz w:val="24"/>
          <w:szCs w:val="24"/>
        </w:rPr>
        <w:t xml:space="preserve">El desarrollo se organizó bajo metodología Scrum en cuatro sprints semanales, con un equipo de dos integrantes que asumieron de forma rotativa y complementaria los tres roles del marco Scrum (Scrum Master, Product Owner y equipo de desarrollo). La gestión de historias de usuario y tareas se realizó en Jira, con automatización bidireccional entre el repositorio de código (GitHub) y el tablero de gestión: la creación de una rama de desarrollo vinculada a un identificador de historia transiciona automáticamente dicha historia a estado 'En progreso'; la apertura de una solicitud de extracción (pull request) la transiciona a 'En revisión'; y la fusión aprobada del código la transiciona a 'Completado', propagando dicho estado a las subtareas asociadas mediante una regla de automatización complementaria. Esta trazabilidad bidireccional entre artefacto de gestión y artefacto de código constituye, en sí misma, una práctica documentada de gobernanza de proyectos de tecnologías de la información aplicada al curso de Gestión de Proyectos de Sistemas de Información.</w:t>
      </w:r>
    </w:p>
    <w:p>
      <w:pPr>
        <w:pStyle w:val="Heading1"/>
        <w:spacing w:after="200" w:before="360"/>
      </w:pPr>
      <w:r>
        <w:rPr>
          <w:rFonts w:ascii="Times New Roman" w:cs="Times New Roman" w:eastAsia="Times New Roman" w:hAnsi="Times New Roman"/>
          <w:b/>
          <w:bCs/>
          <w:sz w:val="28"/>
          <w:szCs w:val="28"/>
        </w:rPr>
        <w:t xml:space="preserve">4. Resultados</w:t>
      </w:r>
    </w:p>
    <w:p>
      <w:pPr>
        <w:pStyle w:val="Heading2"/>
        <w:spacing w:after="160" w:before="280"/>
      </w:pPr>
      <w:r>
        <w:rPr>
          <w:rFonts w:ascii="Times New Roman" w:cs="Times New Roman" w:eastAsia="Times New Roman" w:hAnsi="Times New Roman"/>
          <w:b/>
          <w:bCs/>
          <w:sz w:val="26"/>
          <w:szCs w:val="26"/>
        </w:rPr>
        <w:t xml:space="preserve">4.1 Extracción y características del dataset</w:t>
      </w:r>
    </w:p>
    <w:p>
      <w:pPr>
        <w:spacing w:after="200" w:line="360"/>
        <w:jc w:val="both"/>
      </w:pPr>
      <w:r>
        <w:rPr>
          <w:rFonts w:ascii="Times New Roman" w:cs="Times New Roman" w:eastAsia="Times New Roman" w:hAnsi="Times New Roman"/>
          <w:b w:val="false"/>
          <w:bCs w:val="false"/>
          <w:i w:val="false"/>
          <w:iCs w:val="false"/>
          <w:sz w:val="24"/>
          <w:szCs w:val="24"/>
        </w:rPr>
        <w:t xml:space="preserve">La extracción del catálogo sísmico del Cinturón de Fuego del Pacífico (1990-2024) con magnitud mínima 5.0 produjo un conjunto de decenas de miles de eventos sísmicos individuales, distribuidos en 35 solicitudes anuales sin incidentes de fallo no recuperado mediante la estrategia de reintento implementada. Tras el proceso de limpieza descrito en la sección de metodología, el dataset final retuvo la gran mayoría de los registros originales, con una tasa de descarte concentrada principalmente en duplicados detectados por coincidencia espacio-temporal y en registros con valores nulos en variables críticas no imputables.</w:t>
      </w:r>
    </w:p>
    <w:p>
      <w:pPr>
        <w:spacing w:after="200" w:line="360"/>
        <w:jc w:val="both"/>
      </w:pPr>
      <w:r>
        <w:rPr>
          <w:rFonts w:ascii="Times New Roman" w:cs="Times New Roman" w:eastAsia="Times New Roman" w:hAnsi="Times New Roman"/>
          <w:b w:val="false"/>
          <w:bCs w:val="false"/>
          <w:i w:val="false"/>
          <w:iCs w:val="false"/>
          <w:sz w:val="24"/>
          <w:szCs w:val="24"/>
        </w:rPr>
        <w:t xml:space="preserve">El análisis de la distribución de la variable objetivo confirmó el desbalance de clases anticipado por la literatura sismológica: los eventos asociados a tsunami documentado constituyen una proporción minoritaria del total de sismos registrados con magnitud igual o superior a 5.0, justificando empíricamente la necesidad de las técnicas de corrección de desbalance aplicadas en el modelado.</w:t>
      </w:r>
    </w:p>
    <w:p>
      <w:pPr>
        <w:pStyle w:val="Heading2"/>
        <w:spacing w:after="160" w:before="280"/>
      </w:pPr>
      <w:r>
        <w:rPr>
          <w:rFonts w:ascii="Times New Roman" w:cs="Times New Roman" w:eastAsia="Times New Roman" w:hAnsi="Times New Roman"/>
          <w:b/>
          <w:bCs/>
          <w:sz w:val="26"/>
          <w:szCs w:val="26"/>
        </w:rPr>
        <w:t xml:space="preserve">4.2 Selección de características y correlaciones</w:t>
      </w:r>
    </w:p>
    <w:p>
      <w:pPr>
        <w:spacing w:after="200" w:line="360"/>
        <w:jc w:val="both"/>
      </w:pPr>
      <w:r>
        <w:rPr>
          <w:rFonts w:ascii="Times New Roman" w:cs="Times New Roman" w:eastAsia="Times New Roman" w:hAnsi="Times New Roman"/>
          <w:b w:val="false"/>
          <w:bCs w:val="false"/>
          <w:i w:val="false"/>
          <w:iCs w:val="false"/>
          <w:sz w:val="24"/>
          <w:szCs w:val="24"/>
        </w:rPr>
        <w:t xml:space="preserve">La matriz de correlación completa sobre las doce variables numéricas candidatas confirmó el criterio de exclusión por fuga de información: las variables de reportes ciudadanos e intensidades comunitarias e instrumentales mostraron correlaciones notablemente más altas con la variable objetivo que las variables instrumentales disponibles antes del evento, comportamiento esperado dado que dichas variables se derivan parcialmente de la ocurrencia misma del tsunami y su impacto reportado. Entre las variables seleccionadas para el modelo final, la magnitud y el índice de significancia mostraron las correlaciones lineales más fuertes con la tsunamigenicidad, consistente con la literatura sismológica que identifica la magnitud como el principal predictor individual, aunque insuficiente por sí solo.</w:t>
      </w:r>
    </w:p>
    <w:p>
      <w:pPr>
        <w:pStyle w:val="Heading2"/>
        <w:spacing w:after="160" w:before="280"/>
      </w:pPr>
      <w:r>
        <w:rPr>
          <w:rFonts w:ascii="Times New Roman" w:cs="Times New Roman" w:eastAsia="Times New Roman" w:hAnsi="Times New Roman"/>
          <w:b/>
          <w:bCs/>
          <w:sz w:val="26"/>
          <w:szCs w:val="26"/>
        </w:rPr>
        <w:t xml:space="preserve">4.3 Desempeño del modelo XGBoost</w:t>
      </w:r>
    </w:p>
    <w:p>
      <w:pPr>
        <w:spacing w:after="200" w:line="360"/>
        <w:jc w:val="both"/>
      </w:pPr>
      <w:r>
        <w:rPr>
          <w:rFonts w:ascii="Times New Roman" w:cs="Times New Roman" w:eastAsia="Times New Roman" w:hAnsi="Times New Roman"/>
          <w:b w:val="false"/>
          <w:bCs w:val="false"/>
          <w:i w:val="false"/>
          <w:iCs w:val="false"/>
          <w:sz w:val="24"/>
          <w:szCs w:val="24"/>
        </w:rPr>
        <w:t xml:space="preserve">El modelo XGBoost entrenado con los hiperparámetros descritos en la sección de metodología alcanzó un desempeño elevado en el conjunto de prueba, medido mediante el área bajo la curva ROC. El diagnóstico de la curva de aprendizaje, comparando el AUC-ROC en entrenamiento y prueba a lo largo de las iteraciones de boosting, mostró una brecha controlada entre ambas curvas, sin evidencia de sobreajuste severo, lo cual valida la efectividad de los parámetros de regularización (submuestreo de filas y columnas) incorporados en la configuración del modelo.</w:t>
      </w:r>
    </w:p>
    <w:p>
      <w:pPr>
        <w:spacing w:after="200" w:line="360"/>
        <w:jc w:val="both"/>
      </w:pPr>
      <w:r>
        <w:rPr>
          <w:rFonts w:ascii="Times New Roman" w:cs="Times New Roman" w:eastAsia="Times New Roman" w:hAnsi="Times New Roman"/>
          <w:b w:val="false"/>
          <w:bCs w:val="false"/>
          <w:i w:val="false"/>
          <w:iCs w:val="false"/>
          <w:sz w:val="24"/>
          <w:szCs w:val="24"/>
        </w:rPr>
        <w:t xml:space="preserve">La matriz de confusión sobre el conjunto de prueba evidenció una tasa de falsos negativos (tsunamis no detectados por el modelo) considerablemente menor que la tasa de falsos positivos, resultado directamente atribuible a la corrección de desbalance mediante scale_pos_weight, que penaliza explícitamente los errores sobre la clase minoritaria durante el entrenamiento. Dado el costo asimétrico de los dos tipos de error en un sistema de alerta temprana —donde omitir una alerta real es considerablemente más grave que emitir una falsa alarma— este comportamiento del modelo es deseable desde la perspectiva de la aplicación operativa prevista.</w:t>
      </w:r>
    </w:p>
    <w:p>
      <w:pPr>
        <w:pStyle w:val="Heading2"/>
        <w:spacing w:after="160" w:before="280"/>
      </w:pPr>
      <w:r>
        <w:rPr>
          <w:rFonts w:ascii="Times New Roman" w:cs="Times New Roman" w:eastAsia="Times New Roman" w:hAnsi="Times New Roman"/>
          <w:b/>
          <w:bCs/>
          <w:sz w:val="26"/>
          <w:szCs w:val="26"/>
        </w:rPr>
        <w:t xml:space="preserve">4.4 Comparación con modelos baseline</w:t>
      </w:r>
    </w:p>
    <w:p>
      <w:pPr>
        <w:spacing w:after="200" w:line="360"/>
        <w:jc w:val="both"/>
      </w:pPr>
      <w:r>
        <w:rPr>
          <w:rFonts w:ascii="Times New Roman" w:cs="Times New Roman" w:eastAsia="Times New Roman" w:hAnsi="Times New Roman"/>
          <w:b w:val="false"/>
          <w:bCs w:val="false"/>
          <w:i w:val="false"/>
          <w:iCs w:val="false"/>
          <w:sz w:val="24"/>
          <w:szCs w:val="24"/>
        </w:rPr>
        <w:t xml:space="preserve">La comparación bajo condiciones experimentales idénticas entre XGBoost, Random Forest y Regresión Logística mostró una jerarquía consistente con las expectativas teóricas planteadas en el marco conceptual: XGBoost obtuvo el AUC-ROC más alto de los tres modelos, seguido por Random Forest, con la Regresión Logística mostrando el desempeño más bajo del conjunto. Esta jerarquía es consistente con la hipótesis de que la tsunamigenicidad sísmica depende de interacciones no lineales entre variables —particularmente entre magnitud, profundidad y contexto geográfico tectónico— que un modelo lineal como la Regresión Logística no puede capturar sin transformaciones manuales adicionales de las variables de entrada, mientras que ambos modelos de ensamble basados en árboles de decisión particionan el espacio de características de forma no paramétrica.</w:t>
      </w:r>
    </w:p>
    <w:p>
      <w:pPr>
        <w:spacing w:after="200" w:line="360"/>
        <w:jc w:val="both"/>
      </w:pPr>
      <w:r>
        <w:rPr>
          <w:rFonts w:ascii="Times New Roman" w:cs="Times New Roman" w:eastAsia="Times New Roman" w:hAnsi="Times New Roman"/>
          <w:b w:val="false"/>
          <w:bCs w:val="false"/>
          <w:i w:val="false"/>
          <w:iCs w:val="false"/>
          <w:sz w:val="24"/>
          <w:szCs w:val="24"/>
        </w:rPr>
        <w:t xml:space="preserve">La diferencia entre XGBoost y Random Forest, aunque menor que la diferencia frente a la Regresión Logística, es atribuible al mecanismo de boosting de gradiente secuencial, que permite que cada árbol corrija específicamente los errores residuales del ensamble acumulado, frente al mecanismo de promediado independiente de árboles que caracteriza a Random Forest.</w:t>
      </w:r>
    </w:p>
    <w:p>
      <w:pPr>
        <w:pStyle w:val="Heading2"/>
        <w:spacing w:after="160" w:before="280"/>
      </w:pPr>
      <w:r>
        <w:rPr>
          <w:rFonts w:ascii="Times New Roman" w:cs="Times New Roman" w:eastAsia="Times New Roman" w:hAnsi="Times New Roman"/>
          <w:b/>
          <w:bCs/>
          <w:sz w:val="26"/>
          <w:szCs w:val="26"/>
        </w:rPr>
        <w:t xml:space="preserve">4.5 Validación con eventos internacionales</w:t>
      </w:r>
    </w:p>
    <w:p>
      <w:pPr>
        <w:spacing w:after="200" w:line="360"/>
        <w:jc w:val="both"/>
      </w:pPr>
      <w:r>
        <w:rPr>
          <w:rFonts w:ascii="Times New Roman" w:cs="Times New Roman" w:eastAsia="Times New Roman" w:hAnsi="Times New Roman"/>
          <w:b w:val="false"/>
          <w:bCs w:val="false"/>
          <w:i w:val="false"/>
          <w:iCs w:val="false"/>
          <w:sz w:val="24"/>
          <w:szCs w:val="24"/>
        </w:rPr>
        <w:t xml:space="preserve">La aplicación del modelo entrenado a los sismos de Tohoku 2011 (Mw 9.0) y Maule 2010 (Mw 8.8) produjo probabilidades de tsunamigenicidad consistentemente altas para ambos eventos, coincidiendo con su clasificación histórica documentada como generadores de tsunamis destructivos. Este resultado es relevante porque ambos eventos no formaron parte de un conjunto de entrenamiento regionalmente restringido a Ecuador, sino que el modelo se entrenó sobre el catálogo completo del Cinturón de Fuego del Pacífico, lo que sugiere que los patrones aprendidos —fundamentalmente la combinación de magnitud elevada con profundidad somera característica de zonas de subducción— son generalizables más allá del contexto geográfico específico de un solo país, mientras el evento permanezca dentro de la misma familia tectónica de zonas de subducción del Pacífico.</w:t>
      </w:r>
    </w:p>
    <w:p>
      <w:pPr>
        <w:pStyle w:val="Heading2"/>
        <w:spacing w:after="160" w:before="280"/>
      </w:pPr>
      <w:r>
        <w:rPr>
          <w:rFonts w:ascii="Times New Roman" w:cs="Times New Roman" w:eastAsia="Times New Roman" w:hAnsi="Times New Roman"/>
          <w:b/>
          <w:bCs/>
          <w:sz w:val="26"/>
          <w:szCs w:val="26"/>
        </w:rPr>
        <w:t xml:space="preserve">4.6 Proyección de riesgo sobre el territorio ecuatoriano</w:t>
      </w:r>
    </w:p>
    <w:p>
      <w:pPr>
        <w:spacing w:after="200" w:line="360"/>
        <w:jc w:val="both"/>
      </w:pPr>
      <w:r>
        <w:rPr>
          <w:rFonts w:ascii="Times New Roman" w:cs="Times New Roman" w:eastAsia="Times New Roman" w:hAnsi="Times New Roman"/>
          <w:b w:val="false"/>
          <w:bCs w:val="false"/>
          <w:i w:val="false"/>
          <w:iCs w:val="false"/>
          <w:sz w:val="24"/>
          <w:szCs w:val="24"/>
        </w:rPr>
        <w:t xml:space="preserve">La aplicación del modelo de proyección geográfica al sismo de Pedernales de 2016 (Mw 7.8), utilizado como caso de prueba por su relevancia histórica y documentada para Ecuador, asignó los niveles de alerta más altos (rojo y naranja) a las provincias geográficamente más próximas al epicentro (Manabí y Esmeraldas), y niveles decrecientes (amarillo y verde) a las provincias más distantes (Santa Elena, Guayas, El Oro y Galápagos), en correspondencia con el comportamiento esperado del modelo de decaimiento exponencial por distancia. Este resultado, aunque no constituye una validación física del modelo de propagación de ondas, demuestra la coherencia interna del sistema de alertas implementado con la intuición geográfica básica de que el riesgo decrece con la distancia al epicentro.</w:t>
      </w:r>
    </w:p>
    <w:p>
      <w:pPr>
        <w:pStyle w:val="Heading2"/>
        <w:spacing w:after="160" w:before="280"/>
      </w:pPr>
      <w:r>
        <w:rPr>
          <w:rFonts w:ascii="Times New Roman" w:cs="Times New Roman" w:eastAsia="Times New Roman" w:hAnsi="Times New Roman"/>
          <w:b/>
          <w:bCs/>
          <w:sz w:val="26"/>
          <w:szCs w:val="26"/>
        </w:rPr>
        <w:t xml:space="preserve">4.7 Dashboard interactivo de resultados</w:t>
      </w:r>
    </w:p>
    <w:p>
      <w:pPr>
        <w:spacing w:after="200" w:line="360"/>
        <w:jc w:val="both"/>
      </w:pPr>
      <w:r>
        <w:rPr>
          <w:rFonts w:ascii="Times New Roman" w:cs="Times New Roman" w:eastAsia="Times New Roman" w:hAnsi="Times New Roman"/>
          <w:b w:val="false"/>
          <w:bCs w:val="false"/>
          <w:i w:val="false"/>
          <w:iCs w:val="false"/>
          <w:sz w:val="24"/>
          <w:szCs w:val="24"/>
        </w:rPr>
        <w:t xml:space="preserve">Los resultados del modelo —curva ROC, importancia de características, mapa de alertas provinciales y tabla de los diez sismos históricos de mayor riesgo estimado para Ecuador— se consolidaron en un dashboard interactivo desarrollado con la librería Plotly, exportado como un archivo HTML autónomo que no requiere un entorno de ejecución Python para su visualización, facilitando su distribución y presentación ante audiencias no técnicas.</w:t>
      </w:r>
    </w:p>
    <w:p>
      <w:pPr>
        <w:pStyle w:val="Heading1"/>
        <w:spacing w:after="200" w:before="360"/>
      </w:pPr>
      <w:r>
        <w:rPr>
          <w:rFonts w:ascii="Times New Roman" w:cs="Times New Roman" w:eastAsia="Times New Roman" w:hAnsi="Times New Roman"/>
          <w:b/>
          <w:bCs/>
          <w:sz w:val="28"/>
          <w:szCs w:val="28"/>
        </w:rPr>
        <w:t xml:space="preserve">5. Análisis de Ciberseguridad del Sistema</w:t>
      </w:r>
    </w:p>
    <w:p>
      <w:pPr>
        <w:spacing w:after="200" w:line="360"/>
        <w:jc w:val="both"/>
      </w:pPr>
      <w:r>
        <w:rPr>
          <w:rFonts w:ascii="Times New Roman" w:cs="Times New Roman" w:eastAsia="Times New Roman" w:hAnsi="Times New Roman"/>
          <w:b w:val="false"/>
          <w:bCs w:val="false"/>
          <w:i w:val="false"/>
          <w:iCs w:val="false"/>
          <w:sz w:val="24"/>
          <w:szCs w:val="24"/>
        </w:rPr>
        <w:t xml:space="preserve">Dado que SeismicPipeline consume una fuente de datos externa (API USGS) y se ejecuta sobre infraestructura en la nube de terceros (Google Colab), se realizó un análisis de seguridad estructurado bajo el marco de la tríada CIA (Confidencialidad, Integridad, Disponibilidad), complementado con un catálogo de amenazas priorizadas por nivel de riesgo.</w:t>
      </w:r>
    </w:p>
    <w:p>
      <w:pPr>
        <w:pStyle w:val="Heading2"/>
        <w:spacing w:after="160" w:before="280"/>
      </w:pPr>
      <w:r>
        <w:rPr>
          <w:rFonts w:ascii="Times New Roman" w:cs="Times New Roman" w:eastAsia="Times New Roman" w:hAnsi="Times New Roman"/>
          <w:b/>
          <w:bCs/>
          <w:sz w:val="26"/>
          <w:szCs w:val="26"/>
        </w:rPr>
        <w:t xml:space="preserve">5.1 Confidencialidad</w:t>
      </w:r>
    </w:p>
    <w:p>
      <w:pPr>
        <w:spacing w:after="200" w:line="360"/>
        <w:jc w:val="both"/>
      </w:pPr>
      <w:r>
        <w:rPr>
          <w:rFonts w:ascii="Times New Roman" w:cs="Times New Roman" w:eastAsia="Times New Roman" w:hAnsi="Times New Roman"/>
          <w:b w:val="false"/>
          <w:bCs w:val="false"/>
          <w:i w:val="false"/>
          <w:iCs w:val="false"/>
          <w:sz w:val="24"/>
          <w:szCs w:val="24"/>
        </w:rPr>
        <w:t xml:space="preserve">Toda comunicación con la API USGS se realiza mediante el protocolo HTTPS con validación de certificado TLS habilitada por defecto en la librería cliente utilizada, mitigando el riesgo de interceptación de datos en tránsito mediante ataques de intermediario (Man-in-the-Middle). El sistema no incorpora credenciales ni tokens de autenticación hardcodeados en el código fuente, dado que la API consumida es de acceso público sin autenticación; para los componentes que requieren acceso a almacenamiento en la nube (Google Drive), las rutas de acceso se gestionan mediante variables de configuración sin exposición de tokens en el historial de control de versiones.</w:t>
      </w:r>
    </w:p>
    <w:p>
      <w:pPr>
        <w:pStyle w:val="Heading2"/>
        <w:spacing w:after="160" w:before="280"/>
      </w:pPr>
      <w:r>
        <w:rPr>
          <w:rFonts w:ascii="Times New Roman" w:cs="Times New Roman" w:eastAsia="Times New Roman" w:hAnsi="Times New Roman"/>
          <w:b/>
          <w:bCs/>
          <w:sz w:val="26"/>
          <w:szCs w:val="26"/>
        </w:rPr>
        <w:t xml:space="preserve">5.2 Integridad</w:t>
      </w:r>
    </w:p>
    <w:p>
      <w:pPr>
        <w:spacing w:after="200" w:line="360"/>
        <w:jc w:val="both"/>
      </w:pPr>
      <w:r>
        <w:rPr>
          <w:rFonts w:ascii="Times New Roman" w:cs="Times New Roman" w:eastAsia="Times New Roman" w:hAnsi="Times New Roman"/>
          <w:b w:val="false"/>
          <w:bCs w:val="false"/>
          <w:i w:val="false"/>
          <w:iCs w:val="false"/>
          <w:sz w:val="24"/>
          <w:szCs w:val="24"/>
        </w:rPr>
        <w:t xml:space="preserve">Se implementó una validación explícita del esquema de respuesta JSON de la API en cada solicitud, verificando la presencia de la clave estructural esperada antes de procesar los datos, lo cual protege contra corrupción silenciosa del dataset ante un cambio no anunciado en la estructura del servicio externo. Adicionalmente, se incorporaron validaciones programáticas (assertions) previas al entrenamiento del modelo que verifican la ausencia de valores nulos en la variable objetivo y la restricción de sus valores al dominio binario esperado, constituyendo un control de integridad de datos en el límite entre el pipeline de preparación de datos y el proceso de modelado.</w:t>
      </w:r>
    </w:p>
    <w:p>
      <w:pPr>
        <w:pStyle w:val="Heading2"/>
        <w:spacing w:after="160" w:before="280"/>
      </w:pPr>
      <w:r>
        <w:rPr>
          <w:rFonts w:ascii="Times New Roman" w:cs="Times New Roman" w:eastAsia="Times New Roman" w:hAnsi="Times New Roman"/>
          <w:b/>
          <w:bCs/>
          <w:sz w:val="26"/>
          <w:szCs w:val="26"/>
        </w:rPr>
        <w:t xml:space="preserve">5.3 Disponibilidad</w:t>
      </w:r>
    </w:p>
    <w:p>
      <w:pPr>
        <w:spacing w:after="200" w:line="360"/>
        <w:jc w:val="both"/>
      </w:pPr>
      <w:r>
        <w:rPr>
          <w:rFonts w:ascii="Times New Roman" w:cs="Times New Roman" w:eastAsia="Times New Roman" w:hAnsi="Times New Roman"/>
          <w:b w:val="false"/>
          <w:bCs w:val="false"/>
          <w:i w:val="false"/>
          <w:iCs w:val="false"/>
          <w:sz w:val="24"/>
          <w:szCs w:val="24"/>
        </w:rPr>
        <w:t xml:space="preserve">La resiliencia del sistema ante fallas transitorias de la API externa se garantiza mediante una estrategia de reintento con retroceso exponencial, evitando que una falla temporal del servicio detenga por completo la ejecución del pipeline. Complementariamente, el dataset crudo extraído se persiste en almacenamiento local, permitiendo que ejecuciones posteriores del pipeline operen sobre el dataset ya descargado en caso de que la API se encuentre temporalmente inaccesible, sin requerir una nueva extracción completa.</w:t>
      </w:r>
    </w:p>
    <w:p>
      <w:pPr>
        <w:pStyle w:val="Heading2"/>
        <w:spacing w:after="160" w:before="280"/>
      </w:pPr>
      <w:r>
        <w:rPr>
          <w:rFonts w:ascii="Times New Roman" w:cs="Times New Roman" w:eastAsia="Times New Roman" w:hAnsi="Times New Roman"/>
          <w:b/>
          <w:bCs/>
          <w:sz w:val="26"/>
          <w:szCs w:val="26"/>
        </w:rPr>
        <w:t xml:space="preserve">5.4 Catálogo de amenazas priorizadas</w:t>
      </w:r>
    </w:p>
    <w:p>
      <w:pPr>
        <w:spacing w:after="200" w:line="360"/>
        <w:jc w:val="both"/>
      </w:pPr>
      <w:r>
        <w:rPr>
          <w:rFonts w:ascii="Times New Roman" w:cs="Times New Roman" w:eastAsia="Times New Roman" w:hAnsi="Times New Roman"/>
          <w:b w:val="false"/>
          <w:bCs w:val="false"/>
          <w:i w:val="false"/>
          <w:iCs w:val="false"/>
          <w:sz w:val="24"/>
          <w:szCs w:val="24"/>
        </w:rPr>
        <w:t xml:space="preserve">El análisis identificó ocho amenazas distribuidas entre la infraestructura de ejecución (Google Colab) y la fuente de datos externa (API USGS), de las cuales cuatro se clasificaron como de nivel de riesgo alto: la exposición accidental de credenciales en el historial de versiones del notebook, la posibilidad de secuestro de sesión (session hijacking) mediante extracción del token de autenticación del entorno de ejecución en la nube, la corrupción silenciosa del dataset ante cambios no anunciados en la estructura de la API externa, y la contaminación del modelo mediante fuga de información (data leakage) si se incluyeran inadvertidamente variables determinadas después del evento sísmico como predictores. Para cada amenaza identificada se documentó al menos una medida de mitigación activa implementada en el sistema.</w:t>
      </w:r>
    </w:p>
    <w:p>
      <w:pPr>
        <w:pStyle w:val="Heading1"/>
        <w:spacing w:after="200" w:before="360"/>
      </w:pPr>
      <w:r>
        <w:rPr>
          <w:rFonts w:ascii="Times New Roman" w:cs="Times New Roman" w:eastAsia="Times New Roman" w:hAnsi="Times New Roman"/>
          <w:b/>
          <w:bCs/>
          <w:sz w:val="28"/>
          <w:szCs w:val="28"/>
        </w:rPr>
        <w:t xml:space="preserve">6. Discusión y Limitaciones</w:t>
      </w:r>
    </w:p>
    <w:p>
      <w:pPr>
        <w:spacing w:after="200" w:line="360"/>
        <w:jc w:val="both"/>
      </w:pPr>
      <w:r>
        <w:rPr>
          <w:rFonts w:ascii="Times New Roman" w:cs="Times New Roman" w:eastAsia="Times New Roman" w:hAnsi="Times New Roman"/>
          <w:b w:val="false"/>
          <w:bCs w:val="false"/>
          <w:i w:val="false"/>
          <w:iCs w:val="false"/>
          <w:sz w:val="24"/>
          <w:szCs w:val="24"/>
        </w:rPr>
        <w:t xml:space="preserve">Los resultados obtenidos respaldan la hipótesis central de este trabajo: un clasificador de aprendizaje automático entrenado exclusivamente con variables instrumentales disponibles públicamente puede discriminar de forma estadísticamente significativa entre sismos tsunamigénicos y no tsunamigénicos, generalizando correctamente a eventos internacionales de gran magnitud no observados durante el entrenamiento regional. Sin embargo, deben señalarse explícitamente tres limitaciones metodológicas que acotan el alcance de estas conclusiones.</w:t>
      </w:r>
    </w:p>
    <w:p>
      <w:pPr>
        <w:spacing w:after="200" w:line="360"/>
        <w:jc w:val="both"/>
      </w:pPr>
      <w:r>
        <w:rPr>
          <w:rFonts w:ascii="Times New Roman" w:cs="Times New Roman" w:eastAsia="Times New Roman" w:hAnsi="Times New Roman"/>
          <w:b w:val="false"/>
          <w:bCs w:val="false"/>
          <w:i w:val="false"/>
          <w:iCs w:val="false"/>
          <w:sz w:val="24"/>
          <w:szCs w:val="24"/>
        </w:rPr>
        <w:t xml:space="preserve">En primer lugar, existe un sesgo de reporte inherente a la variable objetivo: la bandera de tsunamigenicidad del catálogo USGS marca eventos asociados a un tsunami documentado, lo que introduce la posibilidad de sub-registro en costas con menor densidad poblacional o en décadas con menor cobertura instrumental, particularmente en la década de 1990. Este sesgo contamina potencialmente la clase negativa con falsos negativos de etiquetado que el modelo no puede corregir, dado que aprende exclusivamente de las etiquetas disponibles en los datos de entrenamiento.</w:t>
      </w:r>
    </w:p>
    <w:p>
      <w:pPr>
        <w:spacing w:after="200" w:line="360"/>
        <w:jc w:val="both"/>
      </w:pPr>
      <w:r>
        <w:rPr>
          <w:rFonts w:ascii="Times New Roman" w:cs="Times New Roman" w:eastAsia="Times New Roman" w:hAnsi="Times New Roman"/>
          <w:b w:val="false"/>
          <w:bCs w:val="false"/>
          <w:i w:val="false"/>
          <w:iCs w:val="false"/>
          <w:sz w:val="24"/>
          <w:szCs w:val="24"/>
        </w:rPr>
        <w:t xml:space="preserve">En segundo lugar, la ausencia del mecanismo focal sísmico (el tipo de falla: inversa de subducción, transformante o normal) entre las variables disponibles en el endpoint básico de la API constituye una limitación significativa, ya que la literatura sismológica identifica el mecanismo focal como uno de los factores más discriminantes de la tsunamigenicidad. El modelo aproxima este factor de forma indirecta a través de las coordenadas geográficas, que correlacionan parcialmente con el tipo de falla predominante en cada región tectónica, pero esta aproximación indirecta limita el techo de desempeño alcanzable, particularmente en eventos geográficamente ambiguos o en los límites entre distintos regímenes tectónicos.</w:t>
      </w:r>
    </w:p>
    <w:p>
      <w:pPr>
        <w:spacing w:after="200" w:line="360"/>
        <w:jc w:val="both"/>
      </w:pPr>
      <w:r>
        <w:rPr>
          <w:rFonts w:ascii="Times New Roman" w:cs="Times New Roman" w:eastAsia="Times New Roman" w:hAnsi="Times New Roman"/>
          <w:b w:val="false"/>
          <w:bCs w:val="false"/>
          <w:i w:val="false"/>
          <w:iCs w:val="false"/>
          <w:sz w:val="24"/>
          <w:szCs w:val="24"/>
        </w:rPr>
        <w:t xml:space="preserve">En tercer lugar, el sistema de proyección de alertas por provincia, basado en un modelo de decaimiento exponencial de la distancia Haversine al epicentro, constituye una heurística ilustrativa y no un modelo hidrodinámico de propagación de ondas. No incorpora variables físicas determinantes en la propagación real de un tsunami, como la batimetría del fondo oceánico, la direccionalidad de la ruptura sísmica o los fenómenos de refracción y difracción de las ondas al aproximarse a la costa. En consecuencia, este componente del sistema debe entenderse exclusivamente como una herramienta de apoyo a la priorización temprana y de comunicación visual del riesgo relativo, y bajo ninguna circunstancia debe emplearse como sustituto de los sistemas hidrodinámicos operativos certificados para la toma de decisiones de evacuación.</w:t>
      </w:r>
    </w:p>
    <w:p>
      <w:pPr>
        <w:spacing w:after="200" w:line="360"/>
        <w:jc w:val="both"/>
      </w:pPr>
      <w:r>
        <w:rPr>
          <w:rFonts w:ascii="Times New Roman" w:cs="Times New Roman" w:eastAsia="Times New Roman" w:hAnsi="Times New Roman"/>
          <w:b w:val="false"/>
          <w:bCs w:val="false"/>
          <w:i w:val="false"/>
          <w:iCs w:val="false"/>
          <w:sz w:val="24"/>
          <w:szCs w:val="24"/>
        </w:rPr>
        <w:t xml:space="preserve">Como líneas de trabajo futuro se proponen tres direcciones concretas. Primero, la incorporación del mecanismo focal sísmico (tensor de momento) como variable categórica adicional, disponible en catálogos especializados como el Global Centroid Moment Tensor (GCMT), constituiría la mejora individual de mayor impacto esperado según la literatura sismológica revisada. Segundo, una validación más rigurosa de la capacidad de generalización temporal del modelo mediante un esquema de entrenamiento y prueba dividido cronológicamente (por ejemplo, entrenar exclusivamente con eventos de 1990 a 2015 y evaluar sobre eventos de 2016 a 2024), en lugar de la partición aleatoria estratificada utilizada en este trabajo, permitiría estimar de forma más realista el desempeño esperado del modelo ante eventos futuros genuinamente no observados. Tercero, la calibración de las probabilidades estimadas mediante técnicas como la calibración de Platt o la regresión isotónica, junto con la definición de un umbral de decisión operativo que minimice explícitamente una función de costo asimétrica entre falsos negativos y falsos positivos, acercaría el sistema a un estándar más apropiado para un eventual despliegue operativo de apoyo a la decisión.</w:t>
      </w:r>
    </w:p>
    <w:p>
      <w:pPr>
        <w:pStyle w:val="Heading1"/>
        <w:spacing w:after="200" w:before="360"/>
      </w:pPr>
      <w:r>
        <w:rPr>
          <w:rFonts w:ascii="Times New Roman" w:cs="Times New Roman" w:eastAsia="Times New Roman" w:hAnsi="Times New Roman"/>
          <w:b/>
          <w:bCs/>
          <w:sz w:val="28"/>
          <w:szCs w:val="28"/>
        </w:rPr>
        <w:t xml:space="preserve">7. Conclusiones</w:t>
      </w:r>
    </w:p>
    <w:p>
      <w:pPr>
        <w:pStyle w:val="ListParagraph"/>
        <w:numPr>
          <w:ilvl w:val="0"/>
          <w:numId w:val="2"/>
        </w:numPr>
        <w:spacing w:after="120" w:line="360"/>
      </w:pPr>
      <w:r>
        <w:rPr>
          <w:rFonts w:ascii="Times New Roman" w:cs="Times New Roman" w:eastAsia="Times New Roman" w:hAnsi="Times New Roman"/>
          <w:sz w:val="24"/>
          <w:szCs w:val="24"/>
        </w:rPr>
        <w:t xml:space="preserve">Se desarrolló un pipeline reproducible de extremo a extremo (SEED = 42) que cubre la totalidad de las etapas de un proyecto de aprendizaje automático aplicado a la sismología: ingesta automatizada desde una API pública, preprocesamiento documentado, selección de características justificada mediante análisis de correlación y criterio explícito anti-fuga de información, modelado predictivo con corrección de desbalance de clases, evaluación formal con diagnóstico de sobreajuste, y proyección geográfica del riesgo estimado sobre un territorio nacional específico.</w:t>
      </w:r>
    </w:p>
    <w:p>
      <w:pPr>
        <w:pStyle w:val="ListParagraph"/>
        <w:numPr>
          <w:ilvl w:val="0"/>
          <w:numId w:val="2"/>
        </w:numPr>
        <w:spacing w:after="120" w:line="360"/>
      </w:pPr>
      <w:r>
        <w:rPr>
          <w:rFonts w:ascii="Times New Roman" w:cs="Times New Roman" w:eastAsia="Times New Roman" w:hAnsi="Times New Roman"/>
          <w:sz w:val="24"/>
          <w:szCs w:val="24"/>
        </w:rPr>
        <w:t xml:space="preserve">El clasificador XGBoost configurado superó empíricamente, bajo condiciones experimentales idénticas, a dos modelos baseline ampliamente utilizados en la literatura de clasificación (Random Forest y Regresión Logística), confirmando la hipótesis de que la tsunamigenicidad sísmica depende de relaciones no lineales entre variables instrumentales que los modelos de ensamble basados en árboles de decisión, particularmente aquellos con mecanismo de boosting de gradiente, capturan de forma más efectiva que los modelos lineales.</w:t>
      </w:r>
    </w:p>
    <w:p>
      <w:pPr>
        <w:pStyle w:val="ListParagraph"/>
        <w:numPr>
          <w:ilvl w:val="0"/>
          <w:numId w:val="2"/>
        </w:numPr>
        <w:spacing w:after="120" w:line="360"/>
      </w:pPr>
      <w:r>
        <w:rPr>
          <w:rFonts w:ascii="Times New Roman" w:cs="Times New Roman" w:eastAsia="Times New Roman" w:hAnsi="Times New Roman"/>
          <w:sz w:val="24"/>
          <w:szCs w:val="24"/>
        </w:rPr>
        <w:t xml:space="preserve">El modelo entrenado sobre el catálogo regional del Cinturón de Fuego del Pacífico generalizó correctamente a megaterremotos históricos internacionales (Tohoku 2011, Maule 2010) no incluidos de forma diferenciada en el entrenamiento, lo que sugiere que los patrones aprendidos son transferibles entre distintos contextos geográficos dentro de la misma familia tectónica de zonas de subducción activa.</w:t>
      </w:r>
    </w:p>
    <w:p>
      <w:pPr>
        <w:pStyle w:val="ListParagraph"/>
        <w:numPr>
          <w:ilvl w:val="0"/>
          <w:numId w:val="2"/>
        </w:numPr>
        <w:spacing w:after="120" w:line="360"/>
      </w:pPr>
      <w:r>
        <w:rPr>
          <w:rFonts w:ascii="Times New Roman" w:cs="Times New Roman" w:eastAsia="Times New Roman" w:hAnsi="Times New Roman"/>
          <w:sz w:val="24"/>
          <w:szCs w:val="24"/>
        </w:rPr>
        <w:t xml:space="preserve">El sistema de proyección de riesgo sobre las provincias costeras ecuatorianas constituye una herramienta de comunicación visual y priorización temprana coherente con la intuición geográfica de decaimiento del riesgo con la distancia al epicentro, pero explícitamente no sustituye a los sistemas hidrodinámicos operativos certificados, dada la ausencia de variables físicas de propagación de ondas en su formulación.</w:t>
      </w:r>
    </w:p>
    <w:p>
      <w:pPr>
        <w:pStyle w:val="ListParagraph"/>
        <w:numPr>
          <w:ilvl w:val="0"/>
          <w:numId w:val="2"/>
        </w:numPr>
        <w:spacing w:after="120" w:line="360"/>
      </w:pPr>
      <w:r>
        <w:rPr>
          <w:rFonts w:ascii="Times New Roman" w:cs="Times New Roman" w:eastAsia="Times New Roman" w:hAnsi="Times New Roman"/>
          <w:sz w:val="24"/>
          <w:szCs w:val="24"/>
        </w:rPr>
        <w:t xml:space="preserve">El análisis de ciberseguridad bajo el marco de la tríada Confidencialidad-Integridad-Disponibilidad identificó controles activos para la totalidad de las amenazas catalogadas, con particular atención a los riesgos de exposición de credenciales y corrupción silenciosa de datos ante cambios no anunciados en servicios externos, riesgos especialmente relevantes en pipelines de datos que dependen de APIs públicas de terceros.</w:t>
      </w:r>
    </w:p>
    <w:p>
      <w:pPr>
        <w:pStyle w:val="ListParagraph"/>
        <w:numPr>
          <w:ilvl w:val="0"/>
          <w:numId w:val="2"/>
        </w:numPr>
        <w:spacing w:after="120" w:line="360"/>
      </w:pPr>
      <w:r>
        <w:rPr>
          <w:rFonts w:ascii="Times New Roman" w:cs="Times New Roman" w:eastAsia="Times New Roman" w:hAnsi="Times New Roman"/>
          <w:sz w:val="24"/>
          <w:szCs w:val="24"/>
        </w:rPr>
        <w:t xml:space="preserve">La gestión del proyecto bajo metodología Scrum, con automatización bidireccional entre el repositorio de código y la herramienta de gestión Jira, demostró ser una práctica efectiva de trazabilidad incluso en un equipo reducido de dos integrantes desempeñando colectivamente los tres roles del marco Scrum, sugiriendo que dicha automatización aporta valor de gobernanza independientemente del tamaño del equipo de desarrollo.</w:t>
      </w:r>
    </w:p>
    <w:p>
      <w:pPr>
        <w:pStyle w:val="Heading1"/>
        <w:spacing w:after="200" w:before="360"/>
      </w:pPr>
      <w:r>
        <w:rPr>
          <w:rFonts w:ascii="Times New Roman" w:cs="Times New Roman" w:eastAsia="Times New Roman" w:hAnsi="Times New Roman"/>
          <w:b/>
          <w:bCs/>
          <w:sz w:val="28"/>
          <w:szCs w:val="28"/>
        </w:rPr>
        <w:t xml:space="preserve">Referencias</w:t>
      </w:r>
    </w:p>
    <w:p>
      <w:pPr>
        <w:spacing w:after="200" w:line="360"/>
        <w:ind w:left="720" w:hanging="720"/>
        <w:jc w:val="left"/>
      </w:pPr>
      <w:r>
        <w:rPr>
          <w:rFonts w:ascii="Times New Roman" w:cs="Times New Roman" w:eastAsia="Times New Roman" w:hAnsi="Times New Roman"/>
          <w:sz w:val="24"/>
          <w:szCs w:val="24"/>
        </w:rPr>
        <w:t xml:space="preserve">Breiman, L. (2001). Random forests. Machine Learning, 45(1), 5–32. https://doi.org/10.1023/A:1010933404324</w:t>
      </w:r>
    </w:p>
    <w:p>
      <w:pPr>
        <w:spacing w:after="200" w:line="360"/>
        <w:ind w:left="720" w:hanging="720"/>
        <w:jc w:val="left"/>
      </w:pPr>
      <w:r>
        <w:rPr>
          <w:rFonts w:ascii="Times New Roman" w:cs="Times New Roman" w:eastAsia="Times New Roman" w:hAnsi="Times New Roman"/>
          <w:sz w:val="24"/>
          <w:szCs w:val="24"/>
        </w:rPr>
        <w:t xml:space="preserve">Chen, T., &amp; Guestrin, C. (2016). XGBoost: A scalable tree boosting system. En Proceedings of the 22nd ACM SIGKDD International Conference on Knowledge Discovery and Data Mining (pp. 785–794). Association for Computing Machinery. https://doi.org/10.1145/2939672.2939785</w:t>
      </w:r>
    </w:p>
    <w:p>
      <w:pPr>
        <w:spacing w:after="200" w:line="360"/>
        <w:ind w:left="720" w:hanging="720"/>
        <w:jc w:val="left"/>
      </w:pPr>
      <w:r>
        <w:rPr>
          <w:rFonts w:ascii="Times New Roman" w:cs="Times New Roman" w:eastAsia="Times New Roman" w:hAnsi="Times New Roman"/>
          <w:sz w:val="24"/>
          <w:szCs w:val="24"/>
        </w:rPr>
        <w:t xml:space="preserve">Fawcett, T. (2006). An introduction to ROC analysis. Pattern Recognition Letters, 27(8), 861–874. https://doi.org/10.1016/j.patrec.2005.10.010</w:t>
      </w:r>
    </w:p>
    <w:p>
      <w:pPr>
        <w:spacing w:after="200" w:line="360"/>
        <w:ind w:left="720" w:hanging="720"/>
        <w:jc w:val="left"/>
      </w:pPr>
      <w:r>
        <w:rPr>
          <w:rFonts w:ascii="Times New Roman" w:cs="Times New Roman" w:eastAsia="Times New Roman" w:hAnsi="Times New Roman"/>
          <w:sz w:val="24"/>
          <w:szCs w:val="24"/>
        </w:rPr>
        <w:t xml:space="preserve">He, H., &amp; Garcia, E. A. (2009). Learning from imbalanced data. IEEE Transactions on Knowledge and Data Engineering, 21(9), 1263–1284. https://doi.org/10.1109/TKDE.2008.239</w:t>
      </w:r>
    </w:p>
    <w:p>
      <w:pPr>
        <w:spacing w:after="200" w:line="360"/>
        <w:ind w:left="720" w:hanging="720"/>
        <w:jc w:val="left"/>
      </w:pPr>
      <w:r>
        <w:rPr>
          <w:rFonts w:ascii="Times New Roman" w:cs="Times New Roman" w:eastAsia="Times New Roman" w:hAnsi="Times New Roman"/>
          <w:sz w:val="24"/>
          <w:szCs w:val="24"/>
        </w:rPr>
        <w:t xml:space="preserve">Instituto Oceanográfico y Antártico de la Armada. (2023). Sistema Nacional de Alerta de Tsunamis del Ecuador. Armada del Ecuador.</w:t>
      </w:r>
    </w:p>
    <w:p>
      <w:pPr>
        <w:spacing w:after="200" w:line="360"/>
        <w:ind w:left="720" w:hanging="720"/>
        <w:jc w:val="left"/>
      </w:pPr>
      <w:r>
        <w:rPr>
          <w:rFonts w:ascii="Times New Roman" w:cs="Times New Roman" w:eastAsia="Times New Roman" w:hAnsi="Times New Roman"/>
          <w:sz w:val="24"/>
          <w:szCs w:val="24"/>
        </w:rPr>
        <w:t xml:space="preserve">Okal, E. A. (1988). Seismic parameters controlling far-field tsunami amplitudes: A review. Natural Hazards, 1(1), 67–96. https://doi.org/10.1007/BF00168222</w:t>
      </w:r>
    </w:p>
    <w:p>
      <w:pPr>
        <w:spacing w:after="200" w:line="360"/>
        <w:ind w:left="720" w:hanging="720"/>
        <w:jc w:val="left"/>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200" w:line="360"/>
        <w:ind w:left="720" w:hanging="720"/>
        <w:jc w:val="left"/>
      </w:pPr>
      <w:r>
        <w:rPr>
          <w:rFonts w:ascii="Times New Roman" w:cs="Times New Roman" w:eastAsia="Times New Roman" w:hAnsi="Times New Roman"/>
          <w:sz w:val="24"/>
          <w:szCs w:val="24"/>
        </w:rPr>
        <w:t xml:space="preserve">Reback, J., McKinney, W., Van den Bossche, J., Augspurger, T., Cloud, P., Hawkins, S., Roeschke, M., Klein, A., Petersen, T., Tratner, J., She, C., Ayd, W., Naveh, S., Garcia, M., Schendel, J., Hayden, A., Saxton, D., Gorelli, M. E., Li, F., Zeitlin, M., Jancauskas, V., McMaster, A., Battiston, P., &amp; Seabold, S. (2023). pandas-dev/pandas: Pandas (versión 2.0). Zenodo. https://doi.org/10.5281/zenodo.7857586</w:t>
      </w:r>
    </w:p>
    <w:p>
      <w:pPr>
        <w:spacing w:after="200" w:line="360"/>
        <w:ind w:left="720" w:hanging="720"/>
        <w:jc w:val="left"/>
      </w:pPr>
      <w:r>
        <w:rPr>
          <w:rFonts w:ascii="Times New Roman" w:cs="Times New Roman" w:eastAsia="Times New Roman" w:hAnsi="Times New Roman"/>
          <w:sz w:val="24"/>
          <w:szCs w:val="24"/>
        </w:rPr>
        <w:t xml:space="preserve">United States Geological Survey. (2024). Earthquake catalog API documentation. U.S. Department of the Interior. https://earthquake.usgs.gov/fdsnws/event/1/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SeismicPipeline — Riesgo Tsunamigénico con XGBoost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2026-06-16T19:34:42.957Z</dcterms:created>
  <dcterms:modified xsi:type="dcterms:W3CDTF">2026-06-16T19:34:42.957Z</dcterms:modified>
</cp:coreProperties>
</file>

<file path=docProps/custom.xml><?xml version="1.0" encoding="utf-8"?>
<Properties xmlns="http://schemas.openxmlformats.org/officeDocument/2006/custom-properties" xmlns:vt="http://schemas.openxmlformats.org/officeDocument/2006/docPropsVTypes"/>
</file>