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color w:val="1F3864"/>
          <w:sz w:val="34"/>
          <w:szCs w:val="34"/>
        </w:rPr>
        <w:t xml:space="preserve">Laborator 2 — Tranzacții și Niveluri de Izolare</w:t>
      </w:r>
    </w:p>
    <w:p>
      <w:pPr>
        <w:spacing w:after="240" w:before="0"/>
        <w:jc w:val="center"/>
      </w:pPr>
      <w:r>
        <w:rPr>
          <w:rFonts w:ascii="Arial" w:cs="Arial" w:eastAsia="Arial" w:hAnsi="Arial"/>
          <w:i/>
          <w:iCs/>
          <w:color w:val="2E75B6"/>
          <w:sz w:val="22"/>
          <w:szCs w:val="22"/>
        </w:rPr>
        <w:t xml:space="preserve">Raport detaliat: Probleme de Concurență, Niveluri de Izolare și Performanță Batch</w:t>
      </w:r>
    </w:p>
    <w:p>
      <w:pPr>
        <w:pStyle w:val="Heading1"/>
        <w:spacing w:after="100" w:before="240"/>
      </w:pPr>
      <w:r>
        <w:rPr>
          <w:rFonts w:ascii="Arial" w:cs="Arial" w:eastAsia="Arial" w:hAnsi="Arial"/>
          <w:b/>
          <w:bCs/>
          <w:color w:val="1F3864"/>
          <w:sz w:val="28"/>
          <w:szCs w:val="28"/>
        </w:rPr>
        <w:t xml:space="preserve">1. Probleme de Concurență</w:t>
      </w:r>
    </w:p>
    <w:p>
      <w:pPr>
        <w:spacing w:after="80" w:before="80"/>
      </w:pPr>
      <w:r>
        <w:rPr>
          <w:rFonts w:ascii="Arial" w:cs="Arial" w:eastAsia="Arial" w:hAnsi="Arial"/>
          <w:sz w:val="21"/>
          <w:szCs w:val="21"/>
        </w:rPr>
        <w:t xml:space="preserve">Atunci când mai multe tranzacții accesează simultan aceleași date, pot apărea anomalii care compromit corectitudinea rezultatelor. Cele patru probleme clasice sunt descrise mai jos, fiecare însoțită de un scenariu concret și de log-ul de execuție demonstrat.</w:t>
      </w:r>
    </w:p>
    <w:p>
      <w:pPr>
        <w:pStyle w:val="Heading2"/>
        <w:spacing w:after="80" w:before="160"/>
      </w:pPr>
      <w:r>
        <w:rPr>
          <w:rFonts w:ascii="Arial" w:cs="Arial" w:eastAsia="Arial" w:hAnsi="Arial"/>
          <w:b/>
          <w:bCs/>
          <w:color w:val="2E75B6"/>
          <w:sz w:val="23"/>
          <w:szCs w:val="23"/>
        </w:rPr>
        <w:t xml:space="preserve">1.1 Dirty Read (Citire Murdară)</w:t>
      </w:r>
    </w:p>
    <w:p>
      <w:pPr>
        <w:spacing w:after="80" w:before="80"/>
      </w:pPr>
      <w:r>
        <w:rPr>
          <w:rFonts w:ascii="Arial" w:cs="Arial" w:eastAsia="Arial" w:hAnsi="Arial"/>
          <w:sz w:val="21"/>
          <w:szCs w:val="21"/>
        </w:rPr>
        <w:t xml:space="preserve">O tranzacție citește date modificate de altă tranzacție care </w:t>
      </w:r>
      <w:r>
        <w:rPr>
          <w:rFonts w:ascii="Arial" w:cs="Arial" w:eastAsia="Arial" w:hAnsi="Arial"/>
          <w:b/>
          <w:bCs/>
          <w:sz w:val="21"/>
          <w:szCs w:val="21"/>
        </w:rPr>
        <w:t xml:space="preserve">nu a făcut încă commit</w:t>
      </w:r>
      <w:r>
        <w:rPr>
          <w:rFonts w:ascii="Arial" w:cs="Arial" w:eastAsia="Arial" w:hAnsi="Arial"/>
          <w:sz w:val="21"/>
          <w:szCs w:val="21"/>
        </w:rPr>
        <w:t xml:space="preserve">. Dacă tranzacția scriitoare face rollback, cititorul a operat pe valori care nu au existat niciodată stabil în baza de 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F2F7FC" w:val="clear"/>
            <w:tcMar>
              <w:top w:type="dxa" w:w="90"/>
              <w:left w:type="dxa" w:w="160"/>
              <w:bottom w:type="dxa" w:w="90"/>
              <w:right w:type="dxa" w:w="160"/>
            </w:tcMar>
          </w:tcPr>
          <w:p>
            <w:pPr>
              <w:spacing w:after="22" w:before="22"/>
            </w:pPr>
            <w:r>
              <w:rPr>
                <w:rFonts w:ascii="Courier New" w:cs="Courier New" w:eastAsia="Courier New" w:hAnsi="Courier New"/>
                <w:color w:val="2C2C2C"/>
                <w:sz w:val="18"/>
                <w:szCs w:val="18"/>
              </w:rPr>
              <w:t xml:space="preserve">[TX-A] BEGIN TRANSACTION</w:t>
            </w:r>
          </w:p>
          <w:p>
            <w:pPr>
              <w:spacing w:after="22" w:before="22"/>
            </w:pPr>
            <w:r>
              <w:rPr>
                <w:rFonts w:ascii="Courier New" w:cs="Courier New" w:eastAsia="Courier New" w:hAnsi="Courier New"/>
                <w:color w:val="2C2C2C"/>
                <w:sz w:val="18"/>
                <w:szCs w:val="18"/>
              </w:rPr>
              <w:t xml:space="preserve">[TX-A] UPDATE employees SET salary=10000 WHERE id=1   (fara commit)</w:t>
            </w:r>
          </w:p>
          <w:p>
            <w:pPr>
              <w:spacing w:after="22" w:before="22"/>
            </w:pPr>
            <w:r>
              <w:rPr>
                <w:rFonts w:ascii="Courier New" w:cs="Courier New" w:eastAsia="Courier New" w:hAnsi="Courier New"/>
                <w:color w:val="2C2C2C"/>
                <w:sz w:val="18"/>
                <w:szCs w:val="18"/>
              </w:rPr>
              <w:t xml:space="preserve">[TX-B] BEGIN TRANSACTION  (READ UNCOMMITTED)</w:t>
            </w:r>
          </w:p>
          <w:p>
            <w:pPr>
              <w:spacing w:after="22" w:before="22"/>
            </w:pPr>
            <w:r>
              <w:rPr>
                <w:rFonts w:ascii="Courier New" w:cs="Courier New" w:eastAsia="Courier New" w:hAnsi="Courier New"/>
                <w:color w:val="2C2C2C"/>
                <w:sz w:val="18"/>
                <w:szCs w:val="18"/>
              </w:rPr>
              <w:t xml:space="preserve">[TX-B] SELECT salary WHERE id=1  --&gt;  10000   ⚠ citire murdara!</w:t>
            </w:r>
          </w:p>
          <w:p>
            <w:pPr>
              <w:spacing w:after="22" w:before="22"/>
            </w:pPr>
            <w:r>
              <w:rPr>
                <w:rFonts w:ascii="Courier New" w:cs="Courier New" w:eastAsia="Courier New" w:hAnsi="Courier New"/>
                <w:color w:val="2C2C2C"/>
                <w:sz w:val="18"/>
                <w:szCs w:val="18"/>
              </w:rPr>
              <w:t xml:space="preserve">[TX-A] ROLLBACK  --&gt; salary revine la valoarea originala</w:t>
            </w:r>
          </w:p>
          <w:p>
            <w:pPr>
              <w:spacing w:after="22" w:before="22"/>
            </w:pPr>
            <w:r>
              <w:rPr>
                <w:rFonts w:ascii="Courier New" w:cs="Courier New" w:eastAsia="Courier New" w:hAnsi="Courier New"/>
                <w:color w:val="2C2C2C"/>
                <w:sz w:val="18"/>
                <w:szCs w:val="18"/>
              </w:rPr>
              <w:t xml:space="preserve">Concluzie: TX-B a citit o valoare care nu a existat niciodata in baza de date.</w:t>
            </w:r>
          </w:p>
        </w:tc>
      </w:tr>
    </w:tbl>
    <w:p>
      <w:pPr>
        <w:spacing w:after="80" w:before="80"/>
      </w:pPr>
      <w:r>
        <w:rPr>
          <w:rFonts w:ascii="Arial" w:cs="Arial" w:eastAsia="Arial" w:hAnsi="Arial"/>
          <w:sz w:val="21"/>
          <w:szCs w:val="21"/>
        </w:rPr>
        <w:t xml:space="preserve">Prevenire: </w:t>
      </w:r>
      <w:r>
        <w:rPr>
          <w:rFonts w:ascii="Arial" w:cs="Arial" w:eastAsia="Arial" w:hAnsi="Arial"/>
          <w:b/>
          <w:bCs/>
          <w:sz w:val="21"/>
          <w:szCs w:val="21"/>
        </w:rPr>
        <w:t xml:space="preserve">READ COMMITTED</w:t>
      </w:r>
      <w:r>
        <w:rPr>
          <w:rFonts w:ascii="Arial" w:cs="Arial" w:eastAsia="Arial" w:hAnsi="Arial"/>
          <w:sz w:val="21"/>
          <w:szCs w:val="21"/>
        </w:rPr>
        <w:t xml:space="preserve"> sau orice nivel mai strict.</w:t>
      </w:r>
    </w:p>
    <w:p>
      <w:pPr>
        <w:spacing w:after="60" w:before="60"/>
      </w:pPr>
      <w:r>
        <w:t xml:space="preserve"/>
      </w:r>
    </w:p>
    <w:p>
      <w:pPr>
        <w:pStyle w:val="Heading2"/>
        <w:spacing w:after="80" w:before="160"/>
      </w:pPr>
      <w:r>
        <w:rPr>
          <w:rFonts w:ascii="Arial" w:cs="Arial" w:eastAsia="Arial" w:hAnsi="Arial"/>
          <w:b/>
          <w:bCs/>
          <w:color w:val="2E75B6"/>
          <w:sz w:val="23"/>
          <w:szCs w:val="23"/>
        </w:rPr>
        <w:t xml:space="preserve">1.2 Non-Repeatable Read (Citire Nerepetabilă)</w:t>
      </w:r>
    </w:p>
    <w:p>
      <w:pPr>
        <w:spacing w:after="80" w:before="80"/>
      </w:pPr>
      <w:r>
        <w:rPr>
          <w:rFonts w:ascii="Arial" w:cs="Arial" w:eastAsia="Arial" w:hAnsi="Arial"/>
          <w:sz w:val="21"/>
          <w:szCs w:val="21"/>
        </w:rPr>
        <w:t xml:space="preserve">Tranzacția A citește aceeași înregistrare de două ori în cadrul aceleiași tranzacții și obține valori diferite, deoarece Tranzacția B a </w:t>
      </w:r>
      <w:r>
        <w:rPr>
          <w:rFonts w:ascii="Arial" w:cs="Arial" w:eastAsia="Arial" w:hAnsi="Arial"/>
          <w:b/>
          <w:bCs/>
          <w:sz w:val="21"/>
          <w:szCs w:val="21"/>
        </w:rPr>
        <w:t xml:space="preserve">modificat și comis</w:t>
      </w:r>
      <w:r>
        <w:rPr>
          <w:rFonts w:ascii="Arial" w:cs="Arial" w:eastAsia="Arial" w:hAnsi="Arial"/>
          <w:sz w:val="21"/>
          <w:szCs w:val="21"/>
        </w:rPr>
        <w:t xml:space="preserve"> acea înregistrare între cele două citiri.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F2F7FC" w:val="clear"/>
            <w:tcMar>
              <w:top w:type="dxa" w:w="90"/>
              <w:left w:type="dxa" w:w="160"/>
              <w:bottom w:type="dxa" w:w="90"/>
              <w:right w:type="dxa" w:w="160"/>
            </w:tcMar>
          </w:tcPr>
          <w:p>
            <w:pPr>
              <w:spacing w:after="22" w:before="22"/>
            </w:pPr>
            <w:r>
              <w:rPr>
                <w:rFonts w:ascii="Courier New" w:cs="Courier New" w:eastAsia="Courier New" w:hAnsi="Courier New"/>
                <w:color w:val="2C2C2C"/>
                <w:sz w:val="18"/>
                <w:szCs w:val="18"/>
              </w:rPr>
              <w:t xml:space="preserve">[TX-A] BEGIN TRANSACTION  (READ COMMITTED)</w:t>
            </w:r>
          </w:p>
          <w:p>
            <w:pPr>
              <w:spacing w:after="22" w:before="22"/>
            </w:pPr>
            <w:r>
              <w:rPr>
                <w:rFonts w:ascii="Courier New" w:cs="Courier New" w:eastAsia="Courier New" w:hAnsi="Courier New"/>
                <w:color w:val="2C2C2C"/>
                <w:sz w:val="18"/>
                <w:szCs w:val="18"/>
              </w:rPr>
              <w:t xml:space="preserve">[TX-A] SELECT salary WHERE id=1  --&gt;  Prima citire: 8000</w:t>
            </w:r>
          </w:p>
          <w:p>
            <w:pPr>
              <w:spacing w:after="22" w:before="22"/>
            </w:pPr>
            <w:r>
              <w:rPr>
                <w:rFonts w:ascii="Courier New" w:cs="Courier New" w:eastAsia="Courier New" w:hAnsi="Courier New"/>
                <w:color w:val="2C2C2C"/>
                <w:sz w:val="18"/>
                <w:szCs w:val="18"/>
              </w:rPr>
              <w:t xml:space="preserve">[TX-B] UPDATE employees SET salary=12000 WHERE id=1</w:t>
            </w:r>
          </w:p>
          <w:p>
            <w:pPr>
              <w:spacing w:after="22" w:before="22"/>
            </w:pPr>
            <w:r>
              <w:rPr>
                <w:rFonts w:ascii="Courier New" w:cs="Courier New" w:eastAsia="Courier New" w:hAnsi="Courier New"/>
                <w:color w:val="2C2C2C"/>
                <w:sz w:val="18"/>
                <w:szCs w:val="18"/>
              </w:rPr>
              <w:t xml:space="preserve">[TX-B] COMMIT</w:t>
            </w:r>
          </w:p>
          <w:p>
            <w:pPr>
              <w:spacing w:after="22" w:before="22"/>
            </w:pPr>
            <w:r>
              <w:rPr>
                <w:rFonts w:ascii="Courier New" w:cs="Courier New" w:eastAsia="Courier New" w:hAnsi="Courier New"/>
                <w:color w:val="2C2C2C"/>
                <w:sz w:val="18"/>
                <w:szCs w:val="18"/>
              </w:rPr>
              <w:t xml:space="preserve">[TX-A] SELECT salary WHERE id=1  --&gt;  A doua citire: 12000   ⚠ valoare diferita!</w:t>
            </w:r>
          </w:p>
          <w:p>
            <w:pPr>
              <w:spacing w:after="22" w:before="22"/>
            </w:pPr>
            <w:r>
              <w:rPr>
                <w:rFonts w:ascii="Courier New" w:cs="Courier New" w:eastAsia="Courier New" w:hAnsi="Courier New"/>
                <w:color w:val="2C2C2C"/>
                <w:sz w:val="18"/>
                <w:szCs w:val="18"/>
              </w:rPr>
              <w:t xml:space="preserve">[TX-A] COMMIT</w:t>
            </w:r>
          </w:p>
          <w:p>
            <w:pPr>
              <w:spacing w:after="22" w:before="22"/>
            </w:pPr>
            <w:r>
              <w:rPr>
                <w:rFonts w:ascii="Courier New" w:cs="Courier New" w:eastAsia="Courier New" w:hAnsi="Courier New"/>
                <w:color w:val="2C2C2C"/>
                <w:sz w:val="18"/>
                <w:szCs w:val="18"/>
              </w:rPr>
              <w:t xml:space="preserve">Concluzie: aceeasi interogare, rezultat diferit in aceeasi tranzactie.</w:t>
            </w:r>
          </w:p>
        </w:tc>
      </w:tr>
    </w:tbl>
    <w:p>
      <w:pPr>
        <w:spacing w:after="80" w:before="80"/>
      </w:pPr>
      <w:r>
        <w:rPr>
          <w:rFonts w:ascii="Arial" w:cs="Arial" w:eastAsia="Arial" w:hAnsi="Arial"/>
          <w:sz w:val="21"/>
          <w:szCs w:val="21"/>
        </w:rPr>
        <w:t xml:space="preserve">Prevenire: </w:t>
      </w:r>
      <w:r>
        <w:rPr>
          <w:rFonts w:ascii="Arial" w:cs="Arial" w:eastAsia="Arial" w:hAnsi="Arial"/>
          <w:b/>
          <w:bCs/>
          <w:sz w:val="21"/>
          <w:szCs w:val="21"/>
        </w:rPr>
        <w:t xml:space="preserve">REPEATABLE READ</w:t>
      </w:r>
      <w:r>
        <w:rPr>
          <w:rFonts w:ascii="Arial" w:cs="Arial" w:eastAsia="Arial" w:hAnsi="Arial"/>
          <w:sz w:val="21"/>
          <w:szCs w:val="21"/>
        </w:rPr>
        <w:t xml:space="preserve"> — rândurile citite sunt blocate până la finalul tranzacției.</w:t>
      </w:r>
    </w:p>
    <w:p>
      <w:pPr>
        <w:spacing w:after="60" w:before="60"/>
      </w:pPr>
      <w:r>
        <w:t xml:space="preserve"/>
      </w:r>
    </w:p>
    <w:p>
      <w:pPr>
        <w:pStyle w:val="Heading2"/>
        <w:spacing w:after="80" w:before="160"/>
      </w:pPr>
      <w:r>
        <w:rPr>
          <w:rFonts w:ascii="Arial" w:cs="Arial" w:eastAsia="Arial" w:hAnsi="Arial"/>
          <w:b/>
          <w:bCs/>
          <w:color w:val="2E75B6"/>
          <w:sz w:val="23"/>
          <w:szCs w:val="23"/>
        </w:rPr>
        <w:t xml:space="preserve">1.3 Phantom Read (Citire Fantomă)</w:t>
      </w:r>
    </w:p>
    <w:p>
      <w:pPr>
        <w:spacing w:after="80" w:before="80"/>
      </w:pPr>
      <w:r>
        <w:rPr>
          <w:rFonts w:ascii="Arial" w:cs="Arial" w:eastAsia="Arial" w:hAnsi="Arial"/>
          <w:sz w:val="21"/>
          <w:szCs w:val="21"/>
        </w:rPr>
        <w:t xml:space="preserve">Tranzacția A execută o interogare de tip range de două ori. Între execuții, Tranzacția B </w:t>
      </w:r>
      <w:r>
        <w:rPr>
          <w:rFonts w:ascii="Arial" w:cs="Arial" w:eastAsia="Arial" w:hAnsi="Arial"/>
          <w:b/>
          <w:bCs/>
          <w:sz w:val="21"/>
          <w:szCs w:val="21"/>
        </w:rPr>
        <w:t xml:space="preserve">inserează rânduri noi</w:t>
      </w:r>
      <w:r>
        <w:rPr>
          <w:rFonts w:ascii="Arial" w:cs="Arial" w:eastAsia="Arial" w:hAnsi="Arial"/>
          <w:sz w:val="21"/>
          <w:szCs w:val="21"/>
        </w:rPr>
        <w:t xml:space="preserve"> care satisfac predicatul. La a doua execuție, A vede rânduri suplimentare — "fantomele".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F2F7FC" w:val="clear"/>
            <w:tcMar>
              <w:top w:type="dxa" w:w="90"/>
              <w:left w:type="dxa" w:w="160"/>
              <w:bottom w:type="dxa" w:w="90"/>
              <w:right w:type="dxa" w:w="160"/>
            </w:tcMar>
          </w:tcPr>
          <w:p>
            <w:pPr>
              <w:spacing w:after="22" w:before="22"/>
            </w:pPr>
            <w:r>
              <w:rPr>
                <w:rFonts w:ascii="Courier New" w:cs="Courier New" w:eastAsia="Courier New" w:hAnsi="Courier New"/>
                <w:color w:val="2C2C2C"/>
                <w:sz w:val="18"/>
                <w:szCs w:val="18"/>
              </w:rPr>
              <w:t xml:space="preserve">[TX-A] BEGIN TRANSACTION  (REPEATABLE READ)</w:t>
            </w:r>
          </w:p>
          <w:p>
            <w:pPr>
              <w:spacing w:after="22" w:before="22"/>
            </w:pPr>
            <w:r>
              <w:rPr>
                <w:rFonts w:ascii="Courier New" w:cs="Courier New" w:eastAsia="Courier New" w:hAnsi="Courier New"/>
                <w:color w:val="2C2C2C"/>
                <w:sz w:val="18"/>
                <w:szCs w:val="18"/>
              </w:rPr>
              <w:t xml:space="preserve">[TX-A] SELECT COUNT(*) WHERE department_id=5  --&gt;  Prima numaratoare: 3</w:t>
            </w:r>
          </w:p>
          <w:p>
            <w:pPr>
              <w:spacing w:after="22" w:before="22"/>
            </w:pPr>
            <w:r>
              <w:rPr>
                <w:rFonts w:ascii="Courier New" w:cs="Courier New" w:eastAsia="Courier New" w:hAnsi="Courier New"/>
                <w:color w:val="2C2C2C"/>
                <w:sz w:val="18"/>
                <w:szCs w:val="18"/>
              </w:rPr>
              <w:t xml:space="preserve">[TX-B] INSERT INTO employees (name, department_id) VALUES ('Angajat Nou', 5)</w:t>
            </w:r>
          </w:p>
          <w:p>
            <w:pPr>
              <w:spacing w:after="22" w:before="22"/>
            </w:pPr>
            <w:r>
              <w:rPr>
                <w:rFonts w:ascii="Courier New" w:cs="Courier New" w:eastAsia="Courier New" w:hAnsi="Courier New"/>
                <w:color w:val="2C2C2C"/>
                <w:sz w:val="18"/>
                <w:szCs w:val="18"/>
              </w:rPr>
              <w:t xml:space="preserve">[TX-B] COMMIT</w:t>
            </w:r>
          </w:p>
          <w:p>
            <w:pPr>
              <w:spacing w:after="22" w:before="22"/>
            </w:pPr>
            <w:r>
              <w:rPr>
                <w:rFonts w:ascii="Courier New" w:cs="Courier New" w:eastAsia="Courier New" w:hAnsi="Courier New"/>
                <w:color w:val="2C2C2C"/>
                <w:sz w:val="18"/>
                <w:szCs w:val="18"/>
              </w:rPr>
              <w:t xml:space="preserve">[TX-A] SELECT COUNT(*) WHERE department_id=5  --&gt;  A doua numaratoare: 4   ⚠ phantom!</w:t>
            </w:r>
          </w:p>
          <w:p>
            <w:pPr>
              <w:spacing w:after="22" w:before="22"/>
            </w:pPr>
            <w:r>
              <w:rPr>
                <w:rFonts w:ascii="Courier New" w:cs="Courier New" w:eastAsia="Courier New" w:hAnsi="Courier New"/>
                <w:color w:val="2C2C2C"/>
                <w:sz w:val="18"/>
                <w:szCs w:val="18"/>
              </w:rPr>
              <w:t xml:space="preserve">[TX-A] COMMIT</w:t>
            </w:r>
          </w:p>
          <w:p>
            <w:pPr>
              <w:spacing w:after="22" w:before="22"/>
            </w:pPr>
            <w:r>
              <w:rPr>
                <w:rFonts w:ascii="Courier New" w:cs="Courier New" w:eastAsia="Courier New" w:hAnsi="Courier New"/>
                <w:color w:val="2C2C2C"/>
                <w:sz w:val="18"/>
                <w:szCs w:val="18"/>
              </w:rPr>
              <w:t xml:space="preserve">Concluzie: randul nou este 'fantoma' aparuta intre cele doua citiri.</w:t>
            </w:r>
          </w:p>
        </w:tc>
      </w:tr>
    </w:tbl>
    <w:p>
      <w:pPr>
        <w:spacing w:after="80" w:before="80"/>
      </w:pPr>
      <w:r>
        <w:rPr>
          <w:rFonts w:ascii="Arial" w:cs="Arial" w:eastAsia="Arial" w:hAnsi="Arial"/>
          <w:sz w:val="21"/>
          <w:szCs w:val="21"/>
        </w:rPr>
        <w:t xml:space="preserve">Prevenire: </w:t>
      </w:r>
      <w:r>
        <w:rPr>
          <w:rFonts w:ascii="Arial" w:cs="Arial" w:eastAsia="Arial" w:hAnsi="Arial"/>
          <w:b/>
          <w:bCs/>
          <w:sz w:val="21"/>
          <w:szCs w:val="21"/>
        </w:rPr>
        <w:t xml:space="preserve">SERIALIZABLE</w:t>
      </w:r>
      <w:r>
        <w:rPr>
          <w:rFonts w:ascii="Arial" w:cs="Arial" w:eastAsia="Arial" w:hAnsi="Arial"/>
          <w:sz w:val="21"/>
          <w:szCs w:val="21"/>
        </w:rPr>
        <w:t xml:space="preserve"> — blochează range-urile la nivel de predicat, nu doar rândurile individuale.</w:t>
      </w:r>
    </w:p>
    <w:p>
      <w:pPr>
        <w:spacing w:after="60" w:before="60"/>
      </w:pPr>
      <w:r>
        <w:t xml:space="preserve"/>
      </w:r>
    </w:p>
    <w:p>
      <w:pPr>
        <w:pStyle w:val="Heading2"/>
        <w:spacing w:after="80" w:before="160"/>
      </w:pPr>
      <w:r>
        <w:rPr>
          <w:rFonts w:ascii="Arial" w:cs="Arial" w:eastAsia="Arial" w:hAnsi="Arial"/>
          <w:b/>
          <w:bCs/>
          <w:color w:val="2E75B6"/>
          <w:sz w:val="23"/>
          <w:szCs w:val="23"/>
        </w:rPr>
        <w:t xml:space="preserve">1.4 Lost Update (Actualizare Pierdută)</w:t>
      </w:r>
    </w:p>
    <w:p>
      <w:pPr>
        <w:spacing w:after="80" w:before="80"/>
      </w:pPr>
      <w:r>
        <w:rPr>
          <w:rFonts w:ascii="Arial" w:cs="Arial" w:eastAsia="Arial" w:hAnsi="Arial"/>
          <w:sz w:val="21"/>
          <w:szCs w:val="21"/>
        </w:rPr>
        <w:t xml:space="preserve">Două tranzacții citesc aceeași valoare, calculează independent un rezultat nou și îl scriu înapoi. Prima scriere este </w:t>
      </w:r>
      <w:r>
        <w:rPr>
          <w:rFonts w:ascii="Arial" w:cs="Arial" w:eastAsia="Arial" w:hAnsi="Arial"/>
          <w:b/>
          <w:bCs/>
          <w:sz w:val="21"/>
          <w:szCs w:val="21"/>
        </w:rPr>
        <w:t xml:space="preserve">suprascrisă</w:t>
      </w:r>
      <w:r>
        <w:rPr>
          <w:rFonts w:ascii="Arial" w:cs="Arial" w:eastAsia="Arial" w:hAnsi="Arial"/>
          <w:sz w:val="21"/>
          <w:szCs w:val="21"/>
        </w:rPr>
        <w:t xml:space="preserve"> de a doua, iar modificarea inițială se pierde complet.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F2F7FC" w:val="clear"/>
            <w:tcMar>
              <w:top w:type="dxa" w:w="90"/>
              <w:left w:type="dxa" w:w="160"/>
              <w:bottom w:type="dxa" w:w="90"/>
              <w:right w:type="dxa" w:w="160"/>
            </w:tcMar>
          </w:tcPr>
          <w:p>
            <w:pPr>
              <w:spacing w:after="22" w:before="22"/>
            </w:pPr>
            <w:r>
              <w:rPr>
                <w:rFonts w:ascii="Courier New" w:cs="Courier New" w:eastAsia="Courier New" w:hAnsi="Courier New"/>
                <w:color w:val="2C2C2C"/>
                <w:sz w:val="18"/>
                <w:szCs w:val="18"/>
              </w:rPr>
              <w:t xml:space="preserve">[TX-A] SELECT salary WHERE id=1  --&gt;  5000  |  calculeaza 5000+1000 = 6000</w:t>
            </w:r>
          </w:p>
          <w:p>
            <w:pPr>
              <w:spacing w:after="22" w:before="22"/>
            </w:pPr>
            <w:r>
              <w:rPr>
                <w:rFonts w:ascii="Courier New" w:cs="Courier New" w:eastAsia="Courier New" w:hAnsi="Courier New"/>
                <w:color w:val="2C2C2C"/>
                <w:sz w:val="18"/>
                <w:szCs w:val="18"/>
              </w:rPr>
              <w:t xml:space="preserve">[TX-B] SELECT salary WHERE id=1  --&gt;  5000  |  calculeaza 5000+500  = 5500</w:t>
            </w:r>
          </w:p>
          <w:p>
            <w:pPr>
              <w:spacing w:after="22" w:before="22"/>
            </w:pPr>
            <w:r>
              <w:rPr>
                <w:rFonts w:ascii="Courier New" w:cs="Courier New" w:eastAsia="Courier New" w:hAnsi="Courier New"/>
                <w:color w:val="2C2C2C"/>
                <w:sz w:val="18"/>
                <w:szCs w:val="18"/>
              </w:rPr>
              <w:t xml:space="preserve">[TX-B] UPDATE employees SET salary=5500 WHERE id=1</w:t>
            </w:r>
          </w:p>
          <w:p>
            <w:pPr>
              <w:spacing w:after="22" w:before="22"/>
            </w:pPr>
            <w:r>
              <w:rPr>
                <w:rFonts w:ascii="Courier New" w:cs="Courier New" w:eastAsia="Courier New" w:hAnsi="Courier New"/>
                <w:color w:val="2C2C2C"/>
                <w:sz w:val="18"/>
                <w:szCs w:val="18"/>
              </w:rPr>
              <w:t xml:space="preserve">[TX-B] COMMIT</w:t>
            </w:r>
          </w:p>
          <w:p>
            <w:pPr>
              <w:spacing w:after="22" w:before="22"/>
            </w:pPr>
            <w:r>
              <w:rPr>
                <w:rFonts w:ascii="Courier New" w:cs="Courier New" w:eastAsia="Courier New" w:hAnsi="Courier New"/>
                <w:color w:val="2C2C2C"/>
                <w:sz w:val="18"/>
                <w:szCs w:val="18"/>
              </w:rPr>
              <w:t xml:space="preserve">[TX-A] UPDATE employees SET salary=6000 WHERE id=1   ⚠ suprascrie 5500!</w:t>
            </w:r>
          </w:p>
          <w:p>
            <w:pPr>
              <w:spacing w:after="22" w:before="22"/>
            </w:pPr>
            <w:r>
              <w:rPr>
                <w:rFonts w:ascii="Courier New" w:cs="Courier New" w:eastAsia="Courier New" w:hAnsi="Courier New"/>
                <w:color w:val="2C2C2C"/>
                <w:sz w:val="18"/>
                <w:szCs w:val="18"/>
              </w:rPr>
              <w:t xml:space="preserve">[TX-A] COMMIT</w:t>
            </w:r>
          </w:p>
          <w:p>
            <w:pPr>
              <w:spacing w:after="22" w:before="22"/>
            </w:pPr>
            <w:r>
              <w:rPr>
                <w:rFonts w:ascii="Courier New" w:cs="Courier New" w:eastAsia="Courier New" w:hAnsi="Courier New"/>
                <w:color w:val="2C2C2C"/>
                <w:sz w:val="18"/>
                <w:szCs w:val="18"/>
              </w:rPr>
              <w:t xml:space="preserve">Stare finala: salary=6000  (corect: 6500). Cresterea de 500 din TX-B s-a pierdut.</w:t>
            </w:r>
          </w:p>
        </w:tc>
      </w:tr>
    </w:tbl>
    <w:p>
      <w:pPr>
        <w:spacing w:after="80" w:before="80"/>
      </w:pPr>
      <w:r>
        <w:rPr>
          <w:rFonts w:ascii="Arial" w:cs="Arial" w:eastAsia="Arial" w:hAnsi="Arial"/>
          <w:sz w:val="21"/>
          <w:szCs w:val="21"/>
        </w:rPr>
        <w:t xml:space="preserve">Prevenire: </w:t>
      </w:r>
      <w:r>
        <w:rPr>
          <w:rFonts w:ascii="Arial" w:cs="Arial" w:eastAsia="Arial" w:hAnsi="Arial"/>
          <w:b/>
          <w:bCs/>
          <w:sz w:val="21"/>
          <w:szCs w:val="21"/>
        </w:rPr>
        <w:t xml:space="preserve">SELECT ... FOR UPDATE</w:t>
      </w:r>
      <w:r>
        <w:rPr>
          <w:rFonts w:ascii="Arial" w:cs="Arial" w:eastAsia="Arial" w:hAnsi="Arial"/>
          <w:sz w:val="21"/>
          <w:szCs w:val="21"/>
        </w:rPr>
        <w:t xml:space="preserve"> (blocare pesimistă) sau versioning optimist cu câmp </w:t>
      </w:r>
      <w:r>
        <w:rPr>
          <w:rFonts w:ascii="Arial" w:cs="Arial" w:eastAsia="Arial" w:hAnsi="Arial"/>
          <w:b/>
          <w:bCs/>
          <w:sz w:val="21"/>
          <w:szCs w:val="21"/>
        </w:rPr>
        <w:t xml:space="preserve">version/timestamp</w:t>
      </w:r>
      <w:r>
        <w:rPr>
          <w:rFonts w:ascii="Arial" w:cs="Arial" w:eastAsia="Arial" w:hAnsi="Arial"/>
          <w:sz w:val="21"/>
          <w:szCs w:val="21"/>
        </w:rPr>
        <w:t xml:space="preserve"> — tranzacția care scrie ultimul verifică dacă valoarea nu s-a schimbat de la citire.</w:t>
      </w:r>
    </w:p>
    <w:p>
      <w:pPr>
        <w:spacing w:after="80" w:before="80"/>
      </w:pPr>
      <w:r>
        <w:t xml:space="preserve"/>
      </w:r>
    </w:p>
    <w:p>
      <w:pPr>
        <w:pStyle w:val="Heading1"/>
        <w:spacing w:after="100" w:before="240"/>
      </w:pPr>
      <w:r>
        <w:rPr>
          <w:rFonts w:ascii="Arial" w:cs="Arial" w:eastAsia="Arial" w:hAnsi="Arial"/>
          <w:b/>
          <w:bCs/>
          <w:color w:val="1F3864"/>
          <w:sz w:val="28"/>
          <w:szCs w:val="28"/>
        </w:rPr>
        <w:t xml:space="preserve">2. Analiza Nivelurilor de Izolare</w:t>
      </w:r>
    </w:p>
    <w:p>
      <w:pPr>
        <w:spacing w:after="80" w:before="80"/>
      </w:pPr>
      <w:r>
        <w:rPr>
          <w:rFonts w:ascii="Arial" w:cs="Arial" w:eastAsia="Arial" w:hAnsi="Arial"/>
          <w:sz w:val="21"/>
          <w:szCs w:val="21"/>
        </w:rPr>
        <w:t xml:space="preserve">Standardul SQL definește patru niveluri de izolare, fiecare reprezentând un compromis între corectitudinea datelor și performanță. Tabelul următor sintetizează ce anomalii permite sau previne fiecare nivel:</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456"/>
        <w:gridCol w:w="1570"/>
        <w:gridCol w:w="1700"/>
        <w:gridCol w:w="1700"/>
      </w:tblGrid>
      <w:tr>
        <w:trPr>
          <w:tblHeader/>
        </w:trPr>
        <w:tc>
          <w:tcPr>
            <w:tcW w:type="dxa" w:w="2600"/>
            <w:tcBorders>
              <w:top w:val="single" w:color="2E75B6" w:sz="1"/>
              <w:left w:val="single" w:color="2E75B6" w:sz="1"/>
              <w:bottom w:val="single" w:color="2E75B6" w:sz="1"/>
              <w:right w:val="single" w:color="2E75B6" w:sz="1"/>
            </w:tcBorders>
            <w:shd w:fill="2E75B6" w:val="clear"/>
            <w:tcMar>
              <w:top w:type="dxa" w:w="80"/>
              <w:left w:type="dxa" w:w="110"/>
              <w:bottom w:type="dxa" w:w="80"/>
              <w:right w:type="dxa" w:w="110"/>
            </w:tcMar>
          </w:tcPr>
          <w:p>
            <w:pPr>
              <w:jc w:val="center"/>
            </w:pPr>
            <w:r>
              <w:rPr>
                <w:rFonts w:ascii="Arial" w:cs="Arial" w:eastAsia="Arial" w:hAnsi="Arial"/>
                <w:b/>
                <w:bCs/>
                <w:color w:val="FFFFFF"/>
                <w:sz w:val="20"/>
                <w:szCs w:val="20"/>
              </w:rPr>
              <w:t xml:space="preserve">Nivel de Izolare</w:t>
            </w:r>
          </w:p>
        </w:tc>
        <w:tc>
          <w:tcPr>
            <w:tcW w:type="dxa" w:w="1456"/>
            <w:tcBorders>
              <w:top w:val="single" w:color="2E75B6" w:sz="1"/>
              <w:left w:val="single" w:color="2E75B6" w:sz="1"/>
              <w:bottom w:val="single" w:color="2E75B6" w:sz="1"/>
              <w:right w:val="single" w:color="2E75B6" w:sz="1"/>
            </w:tcBorders>
            <w:shd w:fill="2E75B6" w:val="clear"/>
            <w:tcMar>
              <w:top w:type="dxa" w:w="80"/>
              <w:left w:type="dxa" w:w="110"/>
              <w:bottom w:type="dxa" w:w="80"/>
              <w:right w:type="dxa" w:w="110"/>
            </w:tcMar>
          </w:tcPr>
          <w:p>
            <w:pPr>
              <w:jc w:val="center"/>
            </w:pPr>
            <w:r>
              <w:rPr>
                <w:rFonts w:ascii="Arial" w:cs="Arial" w:eastAsia="Arial" w:hAnsi="Arial"/>
                <w:b/>
                <w:bCs/>
                <w:color w:val="FFFFFF"/>
                <w:sz w:val="20"/>
                <w:szCs w:val="20"/>
              </w:rPr>
              <w:t xml:space="preserve">Dirty Read</w:t>
            </w:r>
          </w:p>
        </w:tc>
        <w:tc>
          <w:tcPr>
            <w:tcW w:type="dxa" w:w="1570"/>
            <w:tcBorders>
              <w:top w:val="single" w:color="2E75B6" w:sz="1"/>
              <w:left w:val="single" w:color="2E75B6" w:sz="1"/>
              <w:bottom w:val="single" w:color="2E75B6" w:sz="1"/>
              <w:right w:val="single" w:color="2E75B6" w:sz="1"/>
            </w:tcBorders>
            <w:shd w:fill="2E75B6" w:val="clear"/>
            <w:tcMar>
              <w:top w:type="dxa" w:w="80"/>
              <w:left w:type="dxa" w:w="110"/>
              <w:bottom w:type="dxa" w:w="80"/>
              <w:right w:type="dxa" w:w="110"/>
            </w:tcMar>
          </w:tcPr>
          <w:p>
            <w:pPr>
              <w:jc w:val="center"/>
            </w:pPr>
            <w:r>
              <w:rPr>
                <w:rFonts w:ascii="Arial" w:cs="Arial" w:eastAsia="Arial" w:hAnsi="Arial"/>
                <w:b/>
                <w:bCs/>
                <w:color w:val="FFFFFF"/>
                <w:sz w:val="20"/>
                <w:szCs w:val="20"/>
              </w:rPr>
              <w:t xml:space="preserve">Non-Rep. Read</w:t>
            </w:r>
          </w:p>
        </w:tc>
        <w:tc>
          <w:tcPr>
            <w:tcW w:type="dxa" w:w="1700"/>
            <w:tcBorders>
              <w:top w:val="single" w:color="2E75B6" w:sz="1"/>
              <w:left w:val="single" w:color="2E75B6" w:sz="1"/>
              <w:bottom w:val="single" w:color="2E75B6" w:sz="1"/>
              <w:right w:val="single" w:color="2E75B6" w:sz="1"/>
            </w:tcBorders>
            <w:shd w:fill="2E75B6" w:val="clear"/>
            <w:tcMar>
              <w:top w:type="dxa" w:w="80"/>
              <w:left w:type="dxa" w:w="110"/>
              <w:bottom w:type="dxa" w:w="80"/>
              <w:right w:type="dxa" w:w="110"/>
            </w:tcMar>
          </w:tcPr>
          <w:p>
            <w:pPr>
              <w:jc w:val="center"/>
            </w:pPr>
            <w:r>
              <w:rPr>
                <w:rFonts w:ascii="Arial" w:cs="Arial" w:eastAsia="Arial" w:hAnsi="Arial"/>
                <w:b/>
                <w:bCs/>
                <w:color w:val="FFFFFF"/>
                <w:sz w:val="20"/>
                <w:szCs w:val="20"/>
              </w:rPr>
              <w:t xml:space="preserve">Phantom Read</w:t>
            </w:r>
          </w:p>
        </w:tc>
        <w:tc>
          <w:tcPr>
            <w:tcW w:type="dxa" w:w="1700"/>
            <w:tcBorders>
              <w:top w:val="single" w:color="2E75B6" w:sz="1"/>
              <w:left w:val="single" w:color="2E75B6" w:sz="1"/>
              <w:bottom w:val="single" w:color="2E75B6" w:sz="1"/>
              <w:right w:val="single" w:color="2E75B6" w:sz="1"/>
            </w:tcBorders>
            <w:shd w:fill="2E75B6" w:val="clear"/>
            <w:tcMar>
              <w:top w:type="dxa" w:w="80"/>
              <w:left w:type="dxa" w:w="110"/>
              <w:bottom w:type="dxa" w:w="80"/>
              <w:right w:type="dxa" w:w="110"/>
            </w:tcMar>
          </w:tcPr>
          <w:p>
            <w:pPr>
              <w:jc w:val="center"/>
            </w:pPr>
            <w:r>
              <w:rPr>
                <w:rFonts w:ascii="Arial" w:cs="Arial" w:eastAsia="Arial" w:hAnsi="Arial"/>
                <w:b/>
                <w:bCs/>
                <w:color w:val="FFFFFF"/>
                <w:sz w:val="20"/>
                <w:szCs w:val="20"/>
              </w:rPr>
              <w:t xml:space="preserve">Performanță</w:t>
            </w:r>
          </w:p>
        </w:tc>
      </w:tr>
      <w:tr>
        <w:tc>
          <w:tcPr>
            <w:tcW w:type="dxa" w:w="2600"/>
            <w:tcBorders>
              <w:top w:val="single" w:color="BBBBBB" w:sz="1"/>
              <w:left w:val="single" w:color="BBBBBB" w:sz="1"/>
              <w:bottom w:val="single" w:color="BBBBBB" w:sz="1"/>
              <w:right w:val="single" w:color="BBBBBB" w:sz="1"/>
            </w:tcBorders>
            <w:shd w:fill="FDE8E8" w:val="clear"/>
            <w:tcMar>
              <w:top w:type="dxa" w:w="80"/>
              <w:left w:type="dxa" w:w="110"/>
              <w:bottom w:type="dxa" w:w="80"/>
              <w:right w:type="dxa" w:w="110"/>
            </w:tcMar>
          </w:tcPr>
          <w:p>
            <w:pPr>
              <w:jc w:val="left"/>
            </w:pPr>
            <w:r>
              <w:rPr>
                <w:rFonts w:ascii="Arial" w:cs="Arial" w:eastAsia="Arial" w:hAnsi="Arial"/>
                <w:b/>
                <w:bCs/>
                <w:color w:val="1F3864"/>
                <w:sz w:val="20"/>
                <w:szCs w:val="20"/>
              </w:rPr>
              <w:t xml:space="preserve">READ UNCOMMITTED</w:t>
            </w:r>
          </w:p>
        </w:tc>
        <w:tc>
          <w:tcPr>
            <w:tcW w:type="dxa" w:w="1456"/>
            <w:tcBorders>
              <w:top w:val="single" w:color="BBBBBB" w:sz="1"/>
              <w:left w:val="single" w:color="BBBBBB" w:sz="1"/>
              <w:bottom w:val="single" w:color="BBBBBB" w:sz="1"/>
              <w:right w:val="single" w:color="BBBBBB" w:sz="1"/>
            </w:tcBorders>
            <w:shd w:fill="FDE8E8" w:val="clear"/>
            <w:tcMar>
              <w:top w:type="dxa" w:w="80"/>
              <w:left w:type="dxa" w:w="110"/>
              <w:bottom w:type="dxa" w:w="80"/>
              <w:right w:type="dxa" w:w="110"/>
            </w:tcMar>
          </w:tcPr>
          <w:p>
            <w:pPr>
              <w:jc w:val="center"/>
            </w:pPr>
            <w:r>
              <w:rPr>
                <w:rFonts w:ascii="Arial" w:cs="Arial" w:eastAsia="Arial" w:hAnsi="Arial"/>
                <w:color w:val="C0392B"/>
                <w:sz w:val="20"/>
                <w:szCs w:val="20"/>
              </w:rPr>
              <w:t xml:space="preserve">Posibil</w:t>
            </w:r>
          </w:p>
        </w:tc>
        <w:tc>
          <w:tcPr>
            <w:tcW w:type="dxa" w:w="1570"/>
            <w:tcBorders>
              <w:top w:val="single" w:color="BBBBBB" w:sz="1"/>
              <w:left w:val="single" w:color="BBBBBB" w:sz="1"/>
              <w:bottom w:val="single" w:color="BBBBBB" w:sz="1"/>
              <w:right w:val="single" w:color="BBBBBB" w:sz="1"/>
            </w:tcBorders>
            <w:shd w:fill="FDE8E8" w:val="clear"/>
            <w:tcMar>
              <w:top w:type="dxa" w:w="80"/>
              <w:left w:type="dxa" w:w="110"/>
              <w:bottom w:type="dxa" w:w="80"/>
              <w:right w:type="dxa" w:w="110"/>
            </w:tcMar>
          </w:tcPr>
          <w:p>
            <w:pPr>
              <w:jc w:val="center"/>
            </w:pPr>
            <w:r>
              <w:rPr>
                <w:rFonts w:ascii="Arial" w:cs="Arial" w:eastAsia="Arial" w:hAnsi="Arial"/>
                <w:color w:val="C0392B"/>
                <w:sz w:val="20"/>
                <w:szCs w:val="20"/>
              </w:rPr>
              <w:t xml:space="preserve">Posibil</w:t>
            </w:r>
          </w:p>
        </w:tc>
        <w:tc>
          <w:tcPr>
            <w:tcW w:type="dxa" w:w="1700"/>
            <w:tcBorders>
              <w:top w:val="single" w:color="BBBBBB" w:sz="1"/>
              <w:left w:val="single" w:color="BBBBBB" w:sz="1"/>
              <w:bottom w:val="single" w:color="BBBBBB" w:sz="1"/>
              <w:right w:val="single" w:color="BBBBBB" w:sz="1"/>
            </w:tcBorders>
            <w:shd w:fill="FDE8E8" w:val="clear"/>
            <w:tcMar>
              <w:top w:type="dxa" w:w="80"/>
              <w:left w:type="dxa" w:w="110"/>
              <w:bottom w:type="dxa" w:w="80"/>
              <w:right w:type="dxa" w:w="110"/>
            </w:tcMar>
          </w:tcPr>
          <w:p>
            <w:pPr>
              <w:jc w:val="center"/>
            </w:pPr>
            <w:r>
              <w:rPr>
                <w:rFonts w:ascii="Arial" w:cs="Arial" w:eastAsia="Arial" w:hAnsi="Arial"/>
                <w:color w:val="C0392B"/>
                <w:sz w:val="20"/>
                <w:szCs w:val="20"/>
              </w:rPr>
              <w:t xml:space="preserve">Posibil</w:t>
            </w:r>
          </w:p>
        </w:tc>
        <w:tc>
          <w:tcPr>
            <w:tcW w:type="dxa" w:w="1700"/>
            <w:tcBorders>
              <w:top w:val="single" w:color="BBBBBB" w:sz="1"/>
              <w:left w:val="single" w:color="BBBBBB" w:sz="1"/>
              <w:bottom w:val="single" w:color="BBBBBB" w:sz="1"/>
              <w:right w:val="single" w:color="BBBBBB" w:sz="1"/>
            </w:tcBorders>
            <w:shd w:fill="FDE8E8" w:val="clear"/>
            <w:tcMar>
              <w:top w:type="dxa" w:w="80"/>
              <w:left w:type="dxa" w:w="110"/>
              <w:bottom w:type="dxa" w:w="80"/>
              <w:right w:type="dxa" w:w="110"/>
            </w:tcMar>
          </w:tcPr>
          <w:p>
            <w:pPr>
              <w:jc w:val="center"/>
            </w:pPr>
            <w:r>
              <w:rPr>
                <w:rFonts w:ascii="Arial" w:cs="Arial" w:eastAsia="Arial" w:hAnsi="Arial"/>
                <w:color w:val="1F3864"/>
                <w:sz w:val="20"/>
                <w:szCs w:val="20"/>
              </w:rPr>
              <w:t xml:space="preserve">Maximă</w:t>
            </w:r>
          </w:p>
        </w:tc>
      </w:tr>
      <w:tr>
        <w:tc>
          <w:tcPr>
            <w:tcW w:type="dxa" w:w="2600"/>
            <w:tcBorders>
              <w:top w:val="single" w:color="BBBBBB" w:sz="1"/>
              <w:left w:val="single" w:color="BBBBBB" w:sz="1"/>
              <w:bottom w:val="single" w:color="BBBBBB" w:sz="1"/>
              <w:right w:val="single" w:color="BBBBBB" w:sz="1"/>
            </w:tcBorders>
            <w:shd w:fill="FEF3CD" w:val="clear"/>
            <w:tcMar>
              <w:top w:type="dxa" w:w="80"/>
              <w:left w:type="dxa" w:w="110"/>
              <w:bottom w:type="dxa" w:w="80"/>
              <w:right w:type="dxa" w:w="110"/>
            </w:tcMar>
          </w:tcPr>
          <w:p>
            <w:pPr>
              <w:jc w:val="left"/>
            </w:pPr>
            <w:r>
              <w:rPr>
                <w:rFonts w:ascii="Arial" w:cs="Arial" w:eastAsia="Arial" w:hAnsi="Arial"/>
                <w:b/>
                <w:bCs/>
                <w:color w:val="1F3864"/>
                <w:sz w:val="20"/>
                <w:szCs w:val="20"/>
              </w:rPr>
              <w:t xml:space="preserve">READ COMMITTED</w:t>
            </w:r>
          </w:p>
        </w:tc>
        <w:tc>
          <w:tcPr>
            <w:tcW w:type="dxa" w:w="1456"/>
            <w:tcBorders>
              <w:top w:val="single" w:color="BBBBBB" w:sz="1"/>
              <w:left w:val="single" w:color="BBBBBB" w:sz="1"/>
              <w:bottom w:val="single" w:color="BBBBBB" w:sz="1"/>
              <w:right w:val="single" w:color="BBBBBB" w:sz="1"/>
            </w:tcBorders>
            <w:shd w:fill="FEF3CD" w:val="clear"/>
            <w:tcMar>
              <w:top w:type="dxa" w:w="80"/>
              <w:left w:type="dxa" w:w="110"/>
              <w:bottom w:type="dxa" w:w="80"/>
              <w:right w:type="dxa" w:w="110"/>
            </w:tcMar>
          </w:tcPr>
          <w:p>
            <w:pPr>
              <w:jc w:val="center"/>
            </w:pPr>
            <w:r>
              <w:rPr>
                <w:rFonts w:ascii="Arial" w:cs="Arial" w:eastAsia="Arial" w:hAnsi="Arial"/>
                <w:color w:val="1E8449"/>
                <w:sz w:val="20"/>
                <w:szCs w:val="20"/>
              </w:rPr>
              <w:t xml:space="preserve">Prevenit</w:t>
            </w:r>
          </w:p>
        </w:tc>
        <w:tc>
          <w:tcPr>
            <w:tcW w:type="dxa" w:w="1570"/>
            <w:tcBorders>
              <w:top w:val="single" w:color="BBBBBB" w:sz="1"/>
              <w:left w:val="single" w:color="BBBBBB" w:sz="1"/>
              <w:bottom w:val="single" w:color="BBBBBB" w:sz="1"/>
              <w:right w:val="single" w:color="BBBBBB" w:sz="1"/>
            </w:tcBorders>
            <w:shd w:fill="FEF3CD" w:val="clear"/>
            <w:tcMar>
              <w:top w:type="dxa" w:w="80"/>
              <w:left w:type="dxa" w:w="110"/>
              <w:bottom w:type="dxa" w:w="80"/>
              <w:right w:type="dxa" w:w="110"/>
            </w:tcMar>
          </w:tcPr>
          <w:p>
            <w:pPr>
              <w:jc w:val="center"/>
            </w:pPr>
            <w:r>
              <w:rPr>
                <w:rFonts w:ascii="Arial" w:cs="Arial" w:eastAsia="Arial" w:hAnsi="Arial"/>
                <w:color w:val="C0392B"/>
                <w:sz w:val="20"/>
                <w:szCs w:val="20"/>
              </w:rPr>
              <w:t xml:space="preserve">Posibil</w:t>
            </w:r>
          </w:p>
        </w:tc>
        <w:tc>
          <w:tcPr>
            <w:tcW w:type="dxa" w:w="1700"/>
            <w:tcBorders>
              <w:top w:val="single" w:color="BBBBBB" w:sz="1"/>
              <w:left w:val="single" w:color="BBBBBB" w:sz="1"/>
              <w:bottom w:val="single" w:color="BBBBBB" w:sz="1"/>
              <w:right w:val="single" w:color="BBBBBB" w:sz="1"/>
            </w:tcBorders>
            <w:shd w:fill="FEF3CD" w:val="clear"/>
            <w:tcMar>
              <w:top w:type="dxa" w:w="80"/>
              <w:left w:type="dxa" w:w="110"/>
              <w:bottom w:type="dxa" w:w="80"/>
              <w:right w:type="dxa" w:w="110"/>
            </w:tcMar>
          </w:tcPr>
          <w:p>
            <w:pPr>
              <w:jc w:val="center"/>
            </w:pPr>
            <w:r>
              <w:rPr>
                <w:rFonts w:ascii="Arial" w:cs="Arial" w:eastAsia="Arial" w:hAnsi="Arial"/>
                <w:color w:val="C0392B"/>
                <w:sz w:val="20"/>
                <w:szCs w:val="20"/>
              </w:rPr>
              <w:t xml:space="preserve">Posibil</w:t>
            </w:r>
          </w:p>
        </w:tc>
        <w:tc>
          <w:tcPr>
            <w:tcW w:type="dxa" w:w="1700"/>
            <w:tcBorders>
              <w:top w:val="single" w:color="BBBBBB" w:sz="1"/>
              <w:left w:val="single" w:color="BBBBBB" w:sz="1"/>
              <w:bottom w:val="single" w:color="BBBBBB" w:sz="1"/>
              <w:right w:val="single" w:color="BBBBBB" w:sz="1"/>
            </w:tcBorders>
            <w:shd w:fill="FEF3CD" w:val="clear"/>
            <w:tcMar>
              <w:top w:type="dxa" w:w="80"/>
              <w:left w:type="dxa" w:w="110"/>
              <w:bottom w:type="dxa" w:w="80"/>
              <w:right w:type="dxa" w:w="110"/>
            </w:tcMar>
          </w:tcPr>
          <w:p>
            <w:pPr>
              <w:jc w:val="center"/>
            </w:pPr>
            <w:r>
              <w:rPr>
                <w:rFonts w:ascii="Arial" w:cs="Arial" w:eastAsia="Arial" w:hAnsi="Arial"/>
                <w:color w:val="1F3864"/>
                <w:sz w:val="20"/>
                <w:szCs w:val="20"/>
              </w:rPr>
              <w:t xml:space="preserve">Ridicată</w:t>
            </w:r>
          </w:p>
        </w:tc>
      </w:tr>
      <w:tr>
        <w:tc>
          <w:tcPr>
            <w:tcW w:type="dxa" w:w="2600"/>
            <w:tcBorders>
              <w:top w:val="single" w:color="BBBBBB" w:sz="1"/>
              <w:left w:val="single" w:color="BBBBBB" w:sz="1"/>
              <w:bottom w:val="single" w:color="BBBBBB" w:sz="1"/>
              <w:right w:val="single" w:color="BBBBBB" w:sz="1"/>
            </w:tcBorders>
            <w:shd w:fill="FEF9E7" w:val="clear"/>
            <w:tcMar>
              <w:top w:type="dxa" w:w="80"/>
              <w:left w:type="dxa" w:w="110"/>
              <w:bottom w:type="dxa" w:w="80"/>
              <w:right w:type="dxa" w:w="110"/>
            </w:tcMar>
          </w:tcPr>
          <w:p>
            <w:pPr>
              <w:jc w:val="left"/>
            </w:pPr>
            <w:r>
              <w:rPr>
                <w:rFonts w:ascii="Arial" w:cs="Arial" w:eastAsia="Arial" w:hAnsi="Arial"/>
                <w:b/>
                <w:bCs/>
                <w:color w:val="1F3864"/>
                <w:sz w:val="20"/>
                <w:szCs w:val="20"/>
              </w:rPr>
              <w:t xml:space="preserve">REPEATABLE READ</w:t>
            </w:r>
          </w:p>
        </w:tc>
        <w:tc>
          <w:tcPr>
            <w:tcW w:type="dxa" w:w="1456"/>
            <w:tcBorders>
              <w:top w:val="single" w:color="BBBBBB" w:sz="1"/>
              <w:left w:val="single" w:color="BBBBBB" w:sz="1"/>
              <w:bottom w:val="single" w:color="BBBBBB" w:sz="1"/>
              <w:right w:val="single" w:color="BBBBBB" w:sz="1"/>
            </w:tcBorders>
            <w:shd w:fill="FEF9E7" w:val="clear"/>
            <w:tcMar>
              <w:top w:type="dxa" w:w="80"/>
              <w:left w:type="dxa" w:w="110"/>
              <w:bottom w:type="dxa" w:w="80"/>
              <w:right w:type="dxa" w:w="110"/>
            </w:tcMar>
          </w:tcPr>
          <w:p>
            <w:pPr>
              <w:jc w:val="center"/>
            </w:pPr>
            <w:r>
              <w:rPr>
                <w:rFonts w:ascii="Arial" w:cs="Arial" w:eastAsia="Arial" w:hAnsi="Arial"/>
                <w:color w:val="1E8449"/>
                <w:sz w:val="20"/>
                <w:szCs w:val="20"/>
              </w:rPr>
              <w:t xml:space="preserve">Prevenit</w:t>
            </w:r>
          </w:p>
        </w:tc>
        <w:tc>
          <w:tcPr>
            <w:tcW w:type="dxa" w:w="1570"/>
            <w:tcBorders>
              <w:top w:val="single" w:color="BBBBBB" w:sz="1"/>
              <w:left w:val="single" w:color="BBBBBB" w:sz="1"/>
              <w:bottom w:val="single" w:color="BBBBBB" w:sz="1"/>
              <w:right w:val="single" w:color="BBBBBB" w:sz="1"/>
            </w:tcBorders>
            <w:shd w:fill="FEF9E7" w:val="clear"/>
            <w:tcMar>
              <w:top w:type="dxa" w:w="80"/>
              <w:left w:type="dxa" w:w="110"/>
              <w:bottom w:type="dxa" w:w="80"/>
              <w:right w:type="dxa" w:w="110"/>
            </w:tcMar>
          </w:tcPr>
          <w:p>
            <w:pPr>
              <w:jc w:val="center"/>
            </w:pPr>
            <w:r>
              <w:rPr>
                <w:rFonts w:ascii="Arial" w:cs="Arial" w:eastAsia="Arial" w:hAnsi="Arial"/>
                <w:color w:val="1E8449"/>
                <w:sz w:val="20"/>
                <w:szCs w:val="20"/>
              </w:rPr>
              <w:t xml:space="preserve">Prevenit</w:t>
            </w:r>
          </w:p>
        </w:tc>
        <w:tc>
          <w:tcPr>
            <w:tcW w:type="dxa" w:w="1700"/>
            <w:tcBorders>
              <w:top w:val="single" w:color="BBBBBB" w:sz="1"/>
              <w:left w:val="single" w:color="BBBBBB" w:sz="1"/>
              <w:bottom w:val="single" w:color="BBBBBB" w:sz="1"/>
              <w:right w:val="single" w:color="BBBBBB" w:sz="1"/>
            </w:tcBorders>
            <w:shd w:fill="FEF9E7" w:val="clear"/>
            <w:tcMar>
              <w:top w:type="dxa" w:w="80"/>
              <w:left w:type="dxa" w:w="110"/>
              <w:bottom w:type="dxa" w:w="80"/>
              <w:right w:type="dxa" w:w="110"/>
            </w:tcMar>
          </w:tcPr>
          <w:p>
            <w:pPr>
              <w:jc w:val="center"/>
            </w:pPr>
            <w:r>
              <w:rPr>
                <w:rFonts w:ascii="Arial" w:cs="Arial" w:eastAsia="Arial" w:hAnsi="Arial"/>
                <w:color w:val="C0392B"/>
                <w:sz w:val="20"/>
                <w:szCs w:val="20"/>
              </w:rPr>
              <w:t xml:space="preserve">Posibil</w:t>
            </w:r>
          </w:p>
        </w:tc>
        <w:tc>
          <w:tcPr>
            <w:tcW w:type="dxa" w:w="1700"/>
            <w:tcBorders>
              <w:top w:val="single" w:color="BBBBBB" w:sz="1"/>
              <w:left w:val="single" w:color="BBBBBB" w:sz="1"/>
              <w:bottom w:val="single" w:color="BBBBBB" w:sz="1"/>
              <w:right w:val="single" w:color="BBBBBB" w:sz="1"/>
            </w:tcBorders>
            <w:shd w:fill="FEF9E7" w:val="clear"/>
            <w:tcMar>
              <w:top w:type="dxa" w:w="80"/>
              <w:left w:type="dxa" w:w="110"/>
              <w:bottom w:type="dxa" w:w="80"/>
              <w:right w:type="dxa" w:w="110"/>
            </w:tcMar>
          </w:tcPr>
          <w:p>
            <w:pPr>
              <w:jc w:val="center"/>
            </w:pPr>
            <w:r>
              <w:rPr>
                <w:rFonts w:ascii="Arial" w:cs="Arial" w:eastAsia="Arial" w:hAnsi="Arial"/>
                <w:color w:val="1F3864"/>
                <w:sz w:val="20"/>
                <w:szCs w:val="20"/>
              </w:rPr>
              <w:t xml:space="preserve">Medie</w:t>
            </w:r>
          </w:p>
        </w:tc>
      </w:tr>
      <w:tr>
        <w:tc>
          <w:tcPr>
            <w:tcW w:type="dxa" w:w="2600"/>
            <w:tcBorders>
              <w:top w:val="single" w:color="BBBBBB" w:sz="1"/>
              <w:left w:val="single" w:color="BBBBBB" w:sz="1"/>
              <w:bottom w:val="single" w:color="BBBBBB" w:sz="1"/>
              <w:right w:val="single" w:color="BBBBBB" w:sz="1"/>
            </w:tcBorders>
            <w:shd w:fill="E8F5E9" w:val="clear"/>
            <w:tcMar>
              <w:top w:type="dxa" w:w="80"/>
              <w:left w:type="dxa" w:w="110"/>
              <w:bottom w:type="dxa" w:w="80"/>
              <w:right w:type="dxa" w:w="110"/>
            </w:tcMar>
          </w:tcPr>
          <w:p>
            <w:pPr>
              <w:jc w:val="left"/>
            </w:pPr>
            <w:r>
              <w:rPr>
                <w:rFonts w:ascii="Arial" w:cs="Arial" w:eastAsia="Arial" w:hAnsi="Arial"/>
                <w:b/>
                <w:bCs/>
                <w:color w:val="1F3864"/>
                <w:sz w:val="20"/>
                <w:szCs w:val="20"/>
              </w:rPr>
              <w:t xml:space="preserve">SERIALIZABLE</w:t>
            </w:r>
          </w:p>
        </w:tc>
        <w:tc>
          <w:tcPr>
            <w:tcW w:type="dxa" w:w="1456"/>
            <w:tcBorders>
              <w:top w:val="single" w:color="BBBBBB" w:sz="1"/>
              <w:left w:val="single" w:color="BBBBBB" w:sz="1"/>
              <w:bottom w:val="single" w:color="BBBBBB" w:sz="1"/>
              <w:right w:val="single" w:color="BBBBBB" w:sz="1"/>
            </w:tcBorders>
            <w:shd w:fill="E8F5E9" w:val="clear"/>
            <w:tcMar>
              <w:top w:type="dxa" w:w="80"/>
              <w:left w:type="dxa" w:w="110"/>
              <w:bottom w:type="dxa" w:w="80"/>
              <w:right w:type="dxa" w:w="110"/>
            </w:tcMar>
          </w:tcPr>
          <w:p>
            <w:pPr>
              <w:jc w:val="center"/>
            </w:pPr>
            <w:r>
              <w:rPr>
                <w:rFonts w:ascii="Arial" w:cs="Arial" w:eastAsia="Arial" w:hAnsi="Arial"/>
                <w:color w:val="1E8449"/>
                <w:sz w:val="20"/>
                <w:szCs w:val="20"/>
              </w:rPr>
              <w:t xml:space="preserve">Prevenit</w:t>
            </w:r>
          </w:p>
        </w:tc>
        <w:tc>
          <w:tcPr>
            <w:tcW w:type="dxa" w:w="1570"/>
            <w:tcBorders>
              <w:top w:val="single" w:color="BBBBBB" w:sz="1"/>
              <w:left w:val="single" w:color="BBBBBB" w:sz="1"/>
              <w:bottom w:val="single" w:color="BBBBBB" w:sz="1"/>
              <w:right w:val="single" w:color="BBBBBB" w:sz="1"/>
            </w:tcBorders>
            <w:shd w:fill="E8F5E9" w:val="clear"/>
            <w:tcMar>
              <w:top w:type="dxa" w:w="80"/>
              <w:left w:type="dxa" w:w="110"/>
              <w:bottom w:type="dxa" w:w="80"/>
              <w:right w:type="dxa" w:w="110"/>
            </w:tcMar>
          </w:tcPr>
          <w:p>
            <w:pPr>
              <w:jc w:val="center"/>
            </w:pPr>
            <w:r>
              <w:rPr>
                <w:rFonts w:ascii="Arial" w:cs="Arial" w:eastAsia="Arial" w:hAnsi="Arial"/>
                <w:color w:val="1E8449"/>
                <w:sz w:val="20"/>
                <w:szCs w:val="20"/>
              </w:rPr>
              <w:t xml:space="preserve">Prevenit</w:t>
            </w:r>
          </w:p>
        </w:tc>
        <w:tc>
          <w:tcPr>
            <w:tcW w:type="dxa" w:w="1700"/>
            <w:tcBorders>
              <w:top w:val="single" w:color="BBBBBB" w:sz="1"/>
              <w:left w:val="single" w:color="BBBBBB" w:sz="1"/>
              <w:bottom w:val="single" w:color="BBBBBB" w:sz="1"/>
              <w:right w:val="single" w:color="BBBBBB" w:sz="1"/>
            </w:tcBorders>
            <w:shd w:fill="E8F5E9" w:val="clear"/>
            <w:tcMar>
              <w:top w:type="dxa" w:w="80"/>
              <w:left w:type="dxa" w:w="110"/>
              <w:bottom w:type="dxa" w:w="80"/>
              <w:right w:type="dxa" w:w="110"/>
            </w:tcMar>
          </w:tcPr>
          <w:p>
            <w:pPr>
              <w:jc w:val="center"/>
            </w:pPr>
            <w:r>
              <w:rPr>
                <w:rFonts w:ascii="Arial" w:cs="Arial" w:eastAsia="Arial" w:hAnsi="Arial"/>
                <w:color w:val="1E8449"/>
                <w:sz w:val="20"/>
                <w:szCs w:val="20"/>
              </w:rPr>
              <w:t xml:space="preserve">Prevenit</w:t>
            </w:r>
          </w:p>
        </w:tc>
        <w:tc>
          <w:tcPr>
            <w:tcW w:type="dxa" w:w="1700"/>
            <w:tcBorders>
              <w:top w:val="single" w:color="BBBBBB" w:sz="1"/>
              <w:left w:val="single" w:color="BBBBBB" w:sz="1"/>
              <w:bottom w:val="single" w:color="BBBBBB" w:sz="1"/>
              <w:right w:val="single" w:color="BBBBBB" w:sz="1"/>
            </w:tcBorders>
            <w:shd w:fill="E8F5E9" w:val="clear"/>
            <w:tcMar>
              <w:top w:type="dxa" w:w="80"/>
              <w:left w:type="dxa" w:w="110"/>
              <w:bottom w:type="dxa" w:w="80"/>
              <w:right w:type="dxa" w:w="110"/>
            </w:tcMar>
          </w:tcPr>
          <w:p>
            <w:pPr>
              <w:jc w:val="center"/>
            </w:pPr>
            <w:r>
              <w:rPr>
                <w:rFonts w:ascii="Arial" w:cs="Arial" w:eastAsia="Arial" w:hAnsi="Arial"/>
                <w:color w:val="1F3864"/>
                <w:sz w:val="20"/>
                <w:szCs w:val="20"/>
              </w:rPr>
              <w:t xml:space="preserve">Scăzută</w:t>
            </w:r>
          </w:p>
        </w:tc>
      </w:tr>
    </w:tbl>
    <w:p>
      <w:pPr>
        <w:spacing w:after="100" w:before="100"/>
      </w:pPr>
      <w:r>
        <w:t xml:space="preserve"/>
      </w:r>
    </w:p>
    <w:p>
      <w:pPr>
        <w:spacing w:after="80" w:before="80"/>
      </w:pPr>
      <w:r>
        <w:rPr>
          <w:rFonts w:ascii="Arial" w:cs="Arial" w:eastAsia="Arial" w:hAnsi="Arial"/>
          <w:b/>
          <w:bCs/>
          <w:sz w:val="21"/>
          <w:szCs w:val="21"/>
        </w:rPr>
        <w:t xml:space="preserve">READ UNCOMMITTED — </w:t>
      </w:r>
      <w:r>
        <w:rPr>
          <w:rFonts w:ascii="Arial" w:cs="Arial" w:eastAsia="Arial" w:hAnsi="Arial"/>
          <w:sz w:val="21"/>
          <w:szCs w:val="21"/>
        </w:rPr>
        <w:t xml:space="preserve">Cel mai permisiv nivel. Nu se aplică niciun shared lock la citire, deci permite dirty reads. Se folosește rar în producție, de obicei pentru dashboarduri analitice sau sisteme de telemetrie unde o mică inexactitate este acceptabilă în schimbul performanței maxime.</w:t>
      </w:r>
    </w:p>
    <w:p>
      <w:pPr>
        <w:spacing w:after="40" w:before="40"/>
      </w:pPr>
      <w:r>
        <w:t xml:space="preserve"/>
      </w:r>
    </w:p>
    <w:p>
      <w:pPr>
        <w:spacing w:after="80" w:before="80"/>
      </w:pPr>
      <w:r>
        <w:rPr>
          <w:rFonts w:ascii="Arial" w:cs="Arial" w:eastAsia="Arial" w:hAnsi="Arial"/>
          <w:b/>
          <w:bCs/>
          <w:sz w:val="21"/>
          <w:szCs w:val="21"/>
        </w:rPr>
        <w:t xml:space="preserve">READ COMMITTED — </w:t>
      </w:r>
      <w:r>
        <w:rPr>
          <w:rFonts w:ascii="Arial" w:cs="Arial" w:eastAsia="Arial" w:hAnsi="Arial"/>
          <w:sz w:val="21"/>
          <w:szCs w:val="21"/>
        </w:rPr>
        <w:t xml:space="preserve">Nivelul implicit în PostgreSQL și Oracle. Previne dirty reads, dar permite non-repeatable reads și phantom reads. Este alegerea standard pentru aplicații OLTP (e-commerce, CRM, sisteme web) deoarece oferă un echilibru bun între consistență și concurență.</w:t>
      </w:r>
    </w:p>
    <w:p>
      <w:pPr>
        <w:spacing w:after="40" w:before="40"/>
      </w:pPr>
      <w:r>
        <w:t xml:space="preserve"/>
      </w:r>
    </w:p>
    <w:p>
      <w:pPr>
        <w:spacing w:after="80" w:before="80"/>
      </w:pPr>
      <w:r>
        <w:rPr>
          <w:rFonts w:ascii="Arial" w:cs="Arial" w:eastAsia="Arial" w:hAnsi="Arial"/>
          <w:b/>
          <w:bCs/>
          <w:sz w:val="21"/>
          <w:szCs w:val="21"/>
        </w:rPr>
        <w:t xml:space="preserve">REPEATABLE READ — </w:t>
      </w:r>
      <w:r>
        <w:rPr>
          <w:rFonts w:ascii="Arial" w:cs="Arial" w:eastAsia="Arial" w:hAnsi="Arial"/>
          <w:sz w:val="21"/>
          <w:szCs w:val="21"/>
        </w:rPr>
        <w:t xml:space="preserve">Nivelul implicit în MySQL/InnoDB. Garantează că rândurile citite în cursul unei tranzacții nu pot fi modificate de altele până la finalizare. Adecvat pentru rapoarte financiare sau calcule de inventar unde totalurile trebuie să rămână consistente pe parcursul întregii tranzacții.</w:t>
      </w:r>
    </w:p>
    <w:p>
      <w:pPr>
        <w:spacing w:after="40" w:before="40"/>
      </w:pPr>
      <w:r>
        <w:t xml:space="preserve"/>
      </w:r>
    </w:p>
    <w:p>
      <w:pPr>
        <w:spacing w:after="80" w:before="80"/>
      </w:pPr>
      <w:r>
        <w:rPr>
          <w:rFonts w:ascii="Arial" w:cs="Arial" w:eastAsia="Arial" w:hAnsi="Arial"/>
          <w:b/>
          <w:bCs/>
          <w:sz w:val="21"/>
          <w:szCs w:val="21"/>
        </w:rPr>
        <w:t xml:space="preserve">SERIALIZABLE — </w:t>
      </w:r>
      <w:r>
        <w:rPr>
          <w:rFonts w:ascii="Arial" w:cs="Arial" w:eastAsia="Arial" w:hAnsi="Arial"/>
          <w:sz w:val="21"/>
          <w:szCs w:val="21"/>
        </w:rPr>
        <w:t xml:space="preserve">Cel mai restrictiv nivel. Execuția concurentă este echivalentă cu una serializată. Previne toate anomaliile, inclusiv phantom reads. Necesar pentru transferuri bancare, rezervări unice (locuri avion/tren) sau orice operație unde overbooking-ul sau dubla alocare este inacceptabilă. Poate genera mai mulți timpi de așteptare și deadlock-uri la concurență ridicată.</w:t>
      </w:r>
    </w:p>
    <w:p>
      <w:pPr>
        <w:spacing w:after="80" w:before="80"/>
      </w:pPr>
      <w:r>
        <w:t xml:space="preserve"/>
      </w:r>
    </w:p>
    <w:p>
      <w:pPr>
        <w:pStyle w:val="Heading1"/>
        <w:spacing w:after="100" w:before="240"/>
      </w:pPr>
      <w:r>
        <w:rPr>
          <w:rFonts w:ascii="Arial" w:cs="Arial" w:eastAsia="Arial" w:hAnsi="Arial"/>
          <w:b/>
          <w:bCs/>
          <w:color w:val="1F3864"/>
          <w:sz w:val="28"/>
          <w:szCs w:val="28"/>
        </w:rPr>
        <w:t xml:space="preserve">3. Analiza Performanței Inserării în Batch</w:t>
      </w:r>
    </w:p>
    <w:p>
      <w:pPr>
        <w:spacing w:after="80" w:before="80"/>
      </w:pPr>
      <w:r>
        <w:rPr>
          <w:rFonts w:ascii="Arial" w:cs="Arial" w:eastAsia="Arial" w:hAnsi="Arial"/>
          <w:sz w:val="21"/>
          <w:szCs w:val="21"/>
        </w:rPr>
        <w:t xml:space="preserve">S-au comparat trei strategii pentru inserarea a 5 000 de înregistrări, fiecare rulată de 3 ori. Timpii sunt măsurați în milisecunde cu System.currentTimeMillis() în Java, pe o instanță locală de baze de date fără concurență semnificativă.</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150"/>
        <w:gridCol w:w="1150"/>
        <w:gridCol w:w="1150"/>
        <w:gridCol w:w="1276"/>
        <w:gridCol w:w="130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10"/>
              <w:bottom w:type="dxa" w:w="80"/>
              <w:right w:type="dxa" w:w="110"/>
            </w:tcMar>
          </w:tcPr>
          <w:p>
            <w:pPr>
              <w:jc w:val="center"/>
            </w:pPr>
            <w:r>
              <w:rPr>
                <w:rFonts w:ascii="Arial" w:cs="Arial" w:eastAsia="Arial" w:hAnsi="Arial"/>
                <w:b/>
                <w:bCs/>
                <w:color w:val="FFFFFF"/>
                <w:sz w:val="20"/>
                <w:szCs w:val="20"/>
              </w:rPr>
              <w:t xml:space="preserve">Abordare</w:t>
            </w:r>
          </w:p>
        </w:tc>
        <w:tc>
          <w:tcPr>
            <w:tcW w:type="dxa" w:w="1150"/>
            <w:tcBorders>
              <w:top w:val="single" w:color="2E75B6" w:sz="1"/>
              <w:left w:val="single" w:color="2E75B6" w:sz="1"/>
              <w:bottom w:val="single" w:color="2E75B6" w:sz="1"/>
              <w:right w:val="single" w:color="2E75B6" w:sz="1"/>
            </w:tcBorders>
            <w:shd w:fill="2E75B6" w:val="clear"/>
            <w:tcMar>
              <w:top w:type="dxa" w:w="80"/>
              <w:left w:type="dxa" w:w="110"/>
              <w:bottom w:type="dxa" w:w="80"/>
              <w:right w:type="dxa" w:w="110"/>
            </w:tcMar>
          </w:tcPr>
          <w:p>
            <w:pPr>
              <w:jc w:val="center"/>
            </w:pPr>
            <w:r>
              <w:rPr>
                <w:rFonts w:ascii="Arial" w:cs="Arial" w:eastAsia="Arial" w:hAnsi="Arial"/>
                <w:b/>
                <w:bCs/>
                <w:color w:val="FFFFFF"/>
                <w:sz w:val="20"/>
                <w:szCs w:val="20"/>
              </w:rPr>
              <w:t xml:space="preserve">Run 1 (ms)</w:t>
            </w:r>
          </w:p>
        </w:tc>
        <w:tc>
          <w:tcPr>
            <w:tcW w:type="dxa" w:w="1150"/>
            <w:tcBorders>
              <w:top w:val="single" w:color="2E75B6" w:sz="1"/>
              <w:left w:val="single" w:color="2E75B6" w:sz="1"/>
              <w:bottom w:val="single" w:color="2E75B6" w:sz="1"/>
              <w:right w:val="single" w:color="2E75B6" w:sz="1"/>
            </w:tcBorders>
            <w:shd w:fill="2E75B6" w:val="clear"/>
            <w:tcMar>
              <w:top w:type="dxa" w:w="80"/>
              <w:left w:type="dxa" w:w="110"/>
              <w:bottom w:type="dxa" w:w="80"/>
              <w:right w:type="dxa" w:w="110"/>
            </w:tcMar>
          </w:tcPr>
          <w:p>
            <w:pPr>
              <w:jc w:val="center"/>
            </w:pPr>
            <w:r>
              <w:rPr>
                <w:rFonts w:ascii="Arial" w:cs="Arial" w:eastAsia="Arial" w:hAnsi="Arial"/>
                <w:b/>
                <w:bCs/>
                <w:color w:val="FFFFFF"/>
                <w:sz w:val="20"/>
                <w:szCs w:val="20"/>
              </w:rPr>
              <w:t xml:space="preserve">Run 2 (ms)</w:t>
            </w:r>
          </w:p>
        </w:tc>
        <w:tc>
          <w:tcPr>
            <w:tcW w:type="dxa" w:w="1150"/>
            <w:tcBorders>
              <w:top w:val="single" w:color="2E75B6" w:sz="1"/>
              <w:left w:val="single" w:color="2E75B6" w:sz="1"/>
              <w:bottom w:val="single" w:color="2E75B6" w:sz="1"/>
              <w:right w:val="single" w:color="2E75B6" w:sz="1"/>
            </w:tcBorders>
            <w:shd w:fill="2E75B6" w:val="clear"/>
            <w:tcMar>
              <w:top w:type="dxa" w:w="80"/>
              <w:left w:type="dxa" w:w="110"/>
              <w:bottom w:type="dxa" w:w="80"/>
              <w:right w:type="dxa" w:w="110"/>
            </w:tcMar>
          </w:tcPr>
          <w:p>
            <w:pPr>
              <w:jc w:val="center"/>
            </w:pPr>
            <w:r>
              <w:rPr>
                <w:rFonts w:ascii="Arial" w:cs="Arial" w:eastAsia="Arial" w:hAnsi="Arial"/>
                <w:b/>
                <w:bCs/>
                <w:color w:val="FFFFFF"/>
                <w:sz w:val="20"/>
                <w:szCs w:val="20"/>
              </w:rPr>
              <w:t xml:space="preserve">Run 3 (ms)</w:t>
            </w:r>
          </w:p>
        </w:tc>
        <w:tc>
          <w:tcPr>
            <w:tcW w:type="dxa" w:w="1276"/>
            <w:tcBorders>
              <w:top w:val="single" w:color="2E75B6" w:sz="1"/>
              <w:left w:val="single" w:color="2E75B6" w:sz="1"/>
              <w:bottom w:val="single" w:color="2E75B6" w:sz="1"/>
              <w:right w:val="single" w:color="2E75B6" w:sz="1"/>
            </w:tcBorders>
            <w:shd w:fill="2E75B6" w:val="clear"/>
            <w:tcMar>
              <w:top w:type="dxa" w:w="80"/>
              <w:left w:type="dxa" w:w="110"/>
              <w:bottom w:type="dxa" w:w="80"/>
              <w:right w:type="dxa" w:w="110"/>
            </w:tcMar>
          </w:tcPr>
          <w:p>
            <w:pPr>
              <w:jc w:val="center"/>
            </w:pPr>
            <w:r>
              <w:rPr>
                <w:rFonts w:ascii="Arial" w:cs="Arial" w:eastAsia="Arial" w:hAnsi="Arial"/>
                <w:b/>
                <w:bCs/>
                <w:color w:val="FFFFFF"/>
                <w:sz w:val="20"/>
                <w:szCs w:val="20"/>
              </w:rPr>
              <w:t xml:space="preserve">Medie (ms)</w:t>
            </w:r>
          </w:p>
        </w:tc>
        <w:tc>
          <w:tcPr>
            <w:tcW w:type="dxa" w:w="1300"/>
            <w:tcBorders>
              <w:top w:val="single" w:color="2E75B6" w:sz="1"/>
              <w:left w:val="single" w:color="2E75B6" w:sz="1"/>
              <w:bottom w:val="single" w:color="2E75B6" w:sz="1"/>
              <w:right w:val="single" w:color="2E75B6" w:sz="1"/>
            </w:tcBorders>
            <w:shd w:fill="2E75B6" w:val="clear"/>
            <w:tcMar>
              <w:top w:type="dxa" w:w="80"/>
              <w:left w:type="dxa" w:w="110"/>
              <w:bottom w:type="dxa" w:w="80"/>
              <w:right w:type="dxa" w:w="110"/>
            </w:tcMar>
          </w:tcPr>
          <w:p>
            <w:pPr>
              <w:jc w:val="center"/>
            </w:pPr>
            <w:r>
              <w:rPr>
                <w:rFonts w:ascii="Arial" w:cs="Arial" w:eastAsia="Arial" w:hAnsi="Arial"/>
                <w:b/>
                <w:bCs/>
                <w:color w:val="FFFFFF"/>
                <w:sz w:val="20"/>
                <w:szCs w:val="20"/>
              </w:rPr>
              <w:t xml:space="preserve">Rezultat</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left"/>
            </w:pPr>
            <w:r>
              <w:rPr>
                <w:rFonts w:ascii="Arial" w:cs="Arial" w:eastAsia="Arial" w:hAnsi="Arial"/>
                <w:b w:val="false"/>
                <w:bCs w:val="false"/>
                <w:sz w:val="20"/>
                <w:szCs w:val="20"/>
              </w:rPr>
              <w:t xml:space="preserve">1. Auto-commit</w:t>
            </w:r>
          </w:p>
        </w:tc>
        <w:tc>
          <w:tcPr>
            <w:tcW w:type="dxa" w:w="115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sz w:val="20"/>
                <w:szCs w:val="20"/>
              </w:rPr>
              <w:t xml:space="preserve">7 169</w:t>
            </w:r>
          </w:p>
        </w:tc>
        <w:tc>
          <w:tcPr>
            <w:tcW w:type="dxa" w:w="115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color w:val="C0392B"/>
                <w:sz w:val="20"/>
                <w:szCs w:val="20"/>
              </w:rPr>
              <w:t xml:space="preserve">13 873</w:t>
            </w:r>
          </w:p>
        </w:tc>
        <w:tc>
          <w:tcPr>
            <w:tcW w:type="dxa" w:w="115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sz w:val="20"/>
                <w:szCs w:val="20"/>
              </w:rPr>
              <w:t xml:space="preserve">7 555</w:t>
            </w:r>
          </w:p>
        </w:tc>
        <w:tc>
          <w:tcPr>
            <w:tcW w:type="dxa" w:w="1276"/>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bCs/>
                <w:sz w:val="20"/>
                <w:szCs w:val="20"/>
              </w:rPr>
              <w:t xml:space="preserve">9 532</w:t>
            </w:r>
          </w:p>
        </w:tc>
        <w:tc>
          <w:tcPr>
            <w:tcW w:type="dxa" w:w="13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color w:val="555555"/>
                <w:sz w:val="20"/>
                <w:szCs w:val="20"/>
              </w:rPr>
              <w:t xml:space="preserve">Lent</w:t>
            </w:r>
          </w:p>
        </w:tc>
      </w:tr>
      <w:tr>
        <w:tc>
          <w:tcPr>
            <w:tcW w:type="dxa" w:w="3000"/>
            <w:tcBorders>
              <w:top w:val="single" w:color="BBBBBB" w:sz="1"/>
              <w:left w:val="single" w:color="BBBBBB" w:sz="1"/>
              <w:bottom w:val="single" w:color="BBBBBB" w:sz="1"/>
              <w:right w:val="single" w:color="BBBBBB" w:sz="1"/>
            </w:tcBorders>
            <w:shd w:fill="EBF3FA" w:val="clear"/>
            <w:tcMar>
              <w:top w:type="dxa" w:w="80"/>
              <w:left w:type="dxa" w:w="110"/>
              <w:bottom w:type="dxa" w:w="80"/>
              <w:right w:type="dxa" w:w="110"/>
            </w:tcMar>
          </w:tcPr>
          <w:p>
            <w:pPr>
              <w:jc w:val="left"/>
            </w:pPr>
            <w:r>
              <w:rPr>
                <w:rFonts w:ascii="Arial" w:cs="Arial" w:eastAsia="Arial" w:hAnsi="Arial"/>
                <w:b w:val="false"/>
                <w:bCs w:val="false"/>
                <w:sz w:val="20"/>
                <w:szCs w:val="20"/>
              </w:rPr>
              <w:t xml:space="preserve">2. Batch-commit (100 rând.)</w:t>
            </w:r>
          </w:p>
        </w:tc>
        <w:tc>
          <w:tcPr>
            <w:tcW w:type="dxa" w:w="1150"/>
            <w:tcBorders>
              <w:top w:val="single" w:color="BBBBBB" w:sz="1"/>
              <w:left w:val="single" w:color="BBBBBB" w:sz="1"/>
              <w:bottom w:val="single" w:color="BBBBBB" w:sz="1"/>
              <w:right w:val="single" w:color="BBBBBB" w:sz="1"/>
            </w:tcBorders>
            <w:shd w:fill="EBF3FA" w:val="clear"/>
            <w:tcMar>
              <w:top w:type="dxa" w:w="80"/>
              <w:left w:type="dxa" w:w="110"/>
              <w:bottom w:type="dxa" w:w="80"/>
              <w:right w:type="dxa" w:w="110"/>
            </w:tcMar>
          </w:tcPr>
          <w:p>
            <w:pPr>
              <w:jc w:val="center"/>
            </w:pPr>
            <w:r>
              <w:rPr>
                <w:rFonts w:ascii="Arial" w:cs="Arial" w:eastAsia="Arial" w:hAnsi="Arial"/>
                <w:sz w:val="20"/>
                <w:szCs w:val="20"/>
              </w:rPr>
              <w:t xml:space="preserve">4 343</w:t>
            </w:r>
          </w:p>
        </w:tc>
        <w:tc>
          <w:tcPr>
            <w:tcW w:type="dxa" w:w="1150"/>
            <w:tcBorders>
              <w:top w:val="single" w:color="BBBBBB" w:sz="1"/>
              <w:left w:val="single" w:color="BBBBBB" w:sz="1"/>
              <w:bottom w:val="single" w:color="BBBBBB" w:sz="1"/>
              <w:right w:val="single" w:color="BBBBBB" w:sz="1"/>
            </w:tcBorders>
            <w:shd w:fill="EBF3FA" w:val="clear"/>
            <w:tcMar>
              <w:top w:type="dxa" w:w="80"/>
              <w:left w:type="dxa" w:w="110"/>
              <w:bottom w:type="dxa" w:w="80"/>
              <w:right w:type="dxa" w:w="110"/>
            </w:tcMar>
          </w:tcPr>
          <w:p>
            <w:pPr>
              <w:jc w:val="center"/>
            </w:pPr>
            <w:r>
              <w:rPr>
                <w:rFonts w:ascii="Arial" w:cs="Arial" w:eastAsia="Arial" w:hAnsi="Arial"/>
                <w:color w:val="000000"/>
                <w:sz w:val="20"/>
                <w:szCs w:val="20"/>
              </w:rPr>
              <w:t xml:space="preserve">4 933</w:t>
            </w:r>
          </w:p>
        </w:tc>
        <w:tc>
          <w:tcPr>
            <w:tcW w:type="dxa" w:w="1150"/>
            <w:tcBorders>
              <w:top w:val="single" w:color="BBBBBB" w:sz="1"/>
              <w:left w:val="single" w:color="BBBBBB" w:sz="1"/>
              <w:bottom w:val="single" w:color="BBBBBB" w:sz="1"/>
              <w:right w:val="single" w:color="BBBBBB" w:sz="1"/>
            </w:tcBorders>
            <w:shd w:fill="EBF3FA" w:val="clear"/>
            <w:tcMar>
              <w:top w:type="dxa" w:w="80"/>
              <w:left w:type="dxa" w:w="110"/>
              <w:bottom w:type="dxa" w:w="80"/>
              <w:right w:type="dxa" w:w="110"/>
            </w:tcMar>
          </w:tcPr>
          <w:p>
            <w:pPr>
              <w:jc w:val="center"/>
            </w:pPr>
            <w:r>
              <w:rPr>
                <w:rFonts w:ascii="Arial" w:cs="Arial" w:eastAsia="Arial" w:hAnsi="Arial"/>
                <w:sz w:val="20"/>
                <w:szCs w:val="20"/>
              </w:rPr>
              <w:t xml:space="preserve">3 805</w:t>
            </w:r>
          </w:p>
        </w:tc>
        <w:tc>
          <w:tcPr>
            <w:tcW w:type="dxa" w:w="1276"/>
            <w:tcBorders>
              <w:top w:val="single" w:color="BBBBBB" w:sz="1"/>
              <w:left w:val="single" w:color="BBBBBB" w:sz="1"/>
              <w:bottom w:val="single" w:color="BBBBBB" w:sz="1"/>
              <w:right w:val="single" w:color="BBBBBB" w:sz="1"/>
            </w:tcBorders>
            <w:shd w:fill="EBF3FA" w:val="clear"/>
            <w:tcMar>
              <w:top w:type="dxa" w:w="80"/>
              <w:left w:type="dxa" w:w="110"/>
              <w:bottom w:type="dxa" w:w="80"/>
              <w:right w:type="dxa" w:w="110"/>
            </w:tcMar>
          </w:tcPr>
          <w:p>
            <w:pPr>
              <w:jc w:val="center"/>
            </w:pPr>
            <w:r>
              <w:rPr>
                <w:rFonts w:ascii="Arial" w:cs="Arial" w:eastAsia="Arial" w:hAnsi="Arial"/>
                <w:b/>
                <w:bCs/>
                <w:sz w:val="20"/>
                <w:szCs w:val="20"/>
              </w:rPr>
              <w:t xml:space="preserve">4 360</w:t>
            </w:r>
          </w:p>
        </w:tc>
        <w:tc>
          <w:tcPr>
            <w:tcW w:type="dxa" w:w="1300"/>
            <w:tcBorders>
              <w:top w:val="single" w:color="BBBBBB" w:sz="1"/>
              <w:left w:val="single" w:color="BBBBBB" w:sz="1"/>
              <w:bottom w:val="single" w:color="BBBBBB" w:sz="1"/>
              <w:right w:val="single" w:color="BBBBBB" w:sz="1"/>
            </w:tcBorders>
            <w:shd w:fill="EBF3FA" w:val="clear"/>
            <w:tcMar>
              <w:top w:type="dxa" w:w="80"/>
              <w:left w:type="dxa" w:w="110"/>
              <w:bottom w:type="dxa" w:w="80"/>
              <w:right w:type="dxa" w:w="110"/>
            </w:tcMar>
          </w:tcPr>
          <w:p>
            <w:pPr>
              <w:jc w:val="center"/>
            </w:pPr>
            <w:r>
              <w:rPr>
                <w:rFonts w:ascii="Arial" w:cs="Arial" w:eastAsia="Arial" w:hAnsi="Arial"/>
                <w:color w:val="555555"/>
                <w:sz w:val="20"/>
                <w:szCs w:val="20"/>
              </w:rPr>
              <w:t xml:space="preserve">Mediu</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left"/>
            </w:pPr>
            <w:r>
              <w:rPr>
                <w:rFonts w:ascii="Arial" w:cs="Arial" w:eastAsia="Arial" w:hAnsi="Arial"/>
                <w:b/>
                <w:bCs/>
                <w:sz w:val="20"/>
                <w:szCs w:val="20"/>
              </w:rPr>
              <w:t xml:space="preserve">3. Single-TX + batch</w:t>
            </w:r>
          </w:p>
        </w:tc>
        <w:tc>
          <w:tcPr>
            <w:tcW w:type="dxa" w:w="115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sz w:val="20"/>
                <w:szCs w:val="20"/>
              </w:rPr>
              <w:t xml:space="preserve">1 677</w:t>
            </w:r>
          </w:p>
        </w:tc>
        <w:tc>
          <w:tcPr>
            <w:tcW w:type="dxa" w:w="115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color w:val="000000"/>
                <w:sz w:val="20"/>
                <w:szCs w:val="20"/>
              </w:rPr>
              <w:t xml:space="preserve">1 399</w:t>
            </w:r>
          </w:p>
        </w:tc>
        <w:tc>
          <w:tcPr>
            <w:tcW w:type="dxa" w:w="115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sz w:val="20"/>
                <w:szCs w:val="20"/>
              </w:rPr>
              <w:t xml:space="preserve">1 025</w:t>
            </w:r>
          </w:p>
        </w:tc>
        <w:tc>
          <w:tcPr>
            <w:tcW w:type="dxa" w:w="1276"/>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bCs/>
                <w:sz w:val="20"/>
                <w:szCs w:val="20"/>
              </w:rPr>
              <w:t xml:space="preserve">1 367</w:t>
            </w:r>
          </w:p>
        </w:tc>
        <w:tc>
          <w:tcPr>
            <w:tcW w:type="dxa" w:w="13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color w:val="1E8449"/>
                <w:sz w:val="20"/>
                <w:szCs w:val="20"/>
              </w:rPr>
              <w:t xml:space="preserve">★ Rapid</w:t>
            </w:r>
          </w:p>
        </w:tc>
      </w:tr>
    </w:tbl>
    <w:p>
      <w:pPr>
        <w:spacing w:after="100" w:before="100"/>
      </w:pPr>
      <w:r>
        <w:t xml:space="preserve"/>
      </w:r>
    </w:p>
    <w:p>
      <w:pPr>
        <w:spacing w:after="80" w:before="80"/>
      </w:pPr>
      <w:r>
        <w:rPr>
          <w:rFonts w:ascii="Arial" w:cs="Arial" w:eastAsia="Arial" w:hAnsi="Arial"/>
          <w:b/>
          <w:bCs/>
          <w:sz w:val="21"/>
          <w:szCs w:val="21"/>
        </w:rPr>
        <w:t xml:space="preserve">Abordarea 1 — Auto-commit: </w:t>
      </w:r>
      <w:r>
        <w:rPr>
          <w:rFonts w:ascii="Arial" w:cs="Arial" w:eastAsia="Arial" w:hAnsi="Arial"/>
          <w:sz w:val="21"/>
          <w:szCs w:val="21"/>
        </w:rPr>
        <w:t xml:space="preserve">Fiecare </w:t>
      </w:r>
      <w:r>
        <w:rPr>
          <w:rFonts w:ascii="Courier New" w:cs="Courier New" w:eastAsia="Courier New" w:hAnsi="Courier New"/>
          <w:sz w:val="20"/>
          <w:szCs w:val="20"/>
        </w:rPr>
        <w:t xml:space="preserve">executeUpdate()</w:t>
      </w:r>
      <w:r>
        <w:rPr>
          <w:rFonts w:ascii="Arial" w:cs="Arial" w:eastAsia="Arial" w:hAnsi="Arial"/>
          <w:sz w:val="21"/>
          <w:szCs w:val="21"/>
        </w:rPr>
        <w:t xml:space="preserve"> este învelit într-o tranzacție implicită și comis imediat. Baza de date efectuează 5 000 de flush-uri independente pe disk (WAL sync). Aceasta este sursa principală a overhead-ului ridicat. Variația mare observată în Run 2 (13 873 ms față de ~7 300 ms în celelalte rulări) este tipică pentru auto-commit: fiecare flush competeaza cu alte operații I/O ale sistemului de operare.</w:t>
      </w:r>
    </w:p>
    <w:p>
      <w:pPr>
        <w:spacing w:after="60" w:before="60"/>
      </w:pPr>
      <w:r>
        <w:t xml:space="preserve"/>
      </w:r>
    </w:p>
    <w:p>
      <w:pPr>
        <w:spacing w:after="80" w:before="80"/>
      </w:pPr>
      <w:r>
        <w:rPr>
          <w:rFonts w:ascii="Arial" w:cs="Arial" w:eastAsia="Arial" w:hAnsi="Arial"/>
          <w:b/>
          <w:bCs/>
          <w:sz w:val="21"/>
          <w:szCs w:val="21"/>
        </w:rPr>
        <w:t xml:space="preserve">Abordarea 2 — Batch-commit la 100 rânduri: </w:t>
      </w:r>
      <w:r>
        <w:rPr>
          <w:rFonts w:ascii="Arial" w:cs="Arial" w:eastAsia="Arial" w:hAnsi="Arial"/>
          <w:sz w:val="21"/>
          <w:szCs w:val="21"/>
        </w:rPr>
        <w:t xml:space="preserve">Auto-commit este dezactivat manual. INSERT-urile se execută individual, dar commit-ul se face o dată la 100 rânduri, reducând flush-urile de la 5 000 la 50. Numărul de network round-trips rămâne 5 000. Medie: 4 360 ms — de </w:t>
      </w:r>
      <w:r>
        <w:rPr>
          <w:rFonts w:ascii="Arial" w:cs="Arial" w:eastAsia="Arial" w:hAnsi="Arial"/>
          <w:b/>
          <w:bCs/>
          <w:sz w:val="21"/>
          <w:szCs w:val="21"/>
        </w:rPr>
        <w:t xml:space="preserve">2.19×</w:t>
      </w:r>
      <w:r>
        <w:rPr>
          <w:rFonts w:ascii="Arial" w:cs="Arial" w:eastAsia="Arial" w:hAnsi="Arial"/>
          <w:sz w:val="21"/>
          <w:szCs w:val="21"/>
        </w:rPr>
        <w:t xml:space="preserve"> mai rapid față de Abordarea 1.</w:t>
      </w:r>
    </w:p>
    <w:p>
      <w:pPr>
        <w:spacing w:after="60" w:before="60"/>
      </w:pPr>
      <w:r>
        <w:t xml:space="preserve"/>
      </w:r>
    </w:p>
    <w:p>
      <w:pPr>
        <w:spacing w:after="80" w:before="80"/>
      </w:pPr>
      <w:r>
        <w:rPr>
          <w:rFonts w:ascii="Arial" w:cs="Arial" w:eastAsia="Arial" w:hAnsi="Arial"/>
          <w:b/>
          <w:bCs/>
          <w:sz w:val="21"/>
          <w:szCs w:val="21"/>
        </w:rPr>
        <w:t xml:space="preserve">Abordarea 3 — Single-TX + JDBC Batch API: </w:t>
      </w:r>
      <w:r>
        <w:rPr>
          <w:rFonts w:ascii="Arial" w:cs="Arial" w:eastAsia="Arial" w:hAnsi="Arial"/>
          <w:sz w:val="21"/>
          <w:szCs w:val="21"/>
        </w:rPr>
        <w:t xml:space="preserve">Rândurile sunt acumulate cu </w:t>
      </w:r>
      <w:r>
        <w:rPr>
          <w:rFonts w:ascii="Courier New" w:cs="Courier New" w:eastAsia="Courier New" w:hAnsi="Courier New"/>
          <w:sz w:val="20"/>
          <w:szCs w:val="20"/>
        </w:rPr>
        <w:t xml:space="preserve">addBatch()</w:t>
      </w:r>
      <w:r>
        <w:rPr>
          <w:rFonts w:ascii="Arial" w:cs="Arial" w:eastAsia="Arial" w:hAnsi="Arial"/>
          <w:sz w:val="21"/>
          <w:szCs w:val="21"/>
        </w:rPr>
        <w:t xml:space="preserve"> și trimise serverului în pachete de 50 cu </w:t>
      </w:r>
      <w:r>
        <w:rPr>
          <w:rFonts w:ascii="Courier New" w:cs="Courier New" w:eastAsia="Courier New" w:hAnsi="Courier New"/>
          <w:sz w:val="20"/>
          <w:szCs w:val="20"/>
        </w:rPr>
        <w:t xml:space="preserve">executeBatch()</w:t>
      </w:r>
      <w:r>
        <w:rPr>
          <w:rFonts w:ascii="Arial" w:cs="Arial" w:eastAsia="Arial" w:hAnsi="Arial"/>
          <w:sz w:val="21"/>
          <w:szCs w:val="21"/>
        </w:rPr>
        <w:t xml:space="preserve">. Un singur </w:t>
      </w:r>
      <w:r>
        <w:rPr>
          <w:rFonts w:ascii="Courier New" w:cs="Courier New" w:eastAsia="Courier New" w:hAnsi="Courier New"/>
          <w:sz w:val="20"/>
          <w:szCs w:val="20"/>
        </w:rPr>
        <w:t xml:space="preserve">commit()</w:t>
      </w:r>
      <w:r>
        <w:rPr>
          <w:rFonts w:ascii="Arial" w:cs="Arial" w:eastAsia="Arial" w:hAnsi="Arial"/>
          <w:sz w:val="21"/>
          <w:szCs w:val="21"/>
        </w:rPr>
        <w:t xml:space="preserve"> la final produce un singur flush. Round-trip-urile scad de la 5 000 la 100. Medie: 1 367 ms — de </w:t>
      </w:r>
      <w:r>
        <w:rPr>
          <w:rFonts w:ascii="Arial" w:cs="Arial" w:eastAsia="Arial" w:hAnsi="Arial"/>
          <w:b/>
          <w:bCs/>
          <w:sz w:val="21"/>
          <w:szCs w:val="21"/>
        </w:rPr>
        <w:t xml:space="preserve">6.97×</w:t>
      </w:r>
      <w:r>
        <w:rPr>
          <w:rFonts w:ascii="Arial" w:cs="Arial" w:eastAsia="Arial" w:hAnsi="Arial"/>
          <w:sz w:val="21"/>
          <w:szCs w:val="21"/>
        </w:rPr>
        <w:t xml:space="preserve"> mai rapid față de Abordarea 1 și de </w:t>
      </w:r>
      <w:r>
        <w:rPr>
          <w:rFonts w:ascii="Arial" w:cs="Arial" w:eastAsia="Arial" w:hAnsi="Arial"/>
          <w:b/>
          <w:bCs/>
          <w:sz w:val="21"/>
          <w:szCs w:val="21"/>
        </w:rPr>
        <w:t xml:space="preserve">3.19×</w:t>
      </w:r>
      <w:r>
        <w:rPr>
          <w:rFonts w:ascii="Arial" w:cs="Arial" w:eastAsia="Arial" w:hAnsi="Arial"/>
          <w:sz w:val="21"/>
          <w:szCs w:val="21"/>
        </w:rPr>
        <w:t xml:space="preserve"> mai rapid față de Abordarea 2.</w:t>
      </w:r>
    </w:p>
    <w:p>
      <w:pPr>
        <w:spacing w:after="80" w:before="80"/>
      </w:pPr>
      <w:r>
        <w:t xml:space="preserve"/>
      </w:r>
    </w:p>
    <w:p>
      <w:pPr>
        <w:spacing w:after="80" w:before="80"/>
      </w:pPr>
      <w:r>
        <w:rPr>
          <w:rFonts w:ascii="Arial" w:cs="Arial" w:eastAsia="Arial" w:hAnsi="Arial"/>
          <w:b/>
          <w:bCs/>
          <w:sz w:val="21"/>
          <w:szCs w:val="21"/>
        </w:rPr>
        <w:t xml:space="preserve">Concluzie: </w:t>
      </w:r>
      <w:r>
        <w:rPr>
          <w:rFonts w:ascii="Arial" w:cs="Arial" w:eastAsia="Arial" w:hAnsi="Arial"/>
          <w:sz w:val="21"/>
          <w:szCs w:val="21"/>
        </w:rPr>
        <w:t xml:space="preserve">Abordarea 3 este optimă pentru inserări în masă. Performanța este îmbunătățită pe două planuri simultan: reducerea round-trip-urilor de rețea (prin batch API) și reducerea operațiilor de flush pe disk (printr-un singur commit). Dacă setul de date este foarte mare și recuperarea parțială în caz de eroare este importantă, Abordarea 2 oferă un compromis rezonabil — o eroare la rândul 4 800 necesită re-executarea doar din ultimul batch necomis, nu de la zero.</w:t>
      </w:r>
    </w:p>
    <w:p>
      <w:pPr>
        <w:spacing w:after="80" w:before="80"/>
      </w:pPr>
      <w:r>
        <w:t xml:space="preserve"/>
      </w:r>
    </w:p>
    <w:p>
      <w:pPr>
        <w:pStyle w:val="Heading1"/>
        <w:spacing w:after="100" w:before="240"/>
      </w:pPr>
      <w:r>
        <w:rPr>
          <w:rFonts w:ascii="Arial" w:cs="Arial" w:eastAsia="Arial" w:hAnsi="Arial"/>
          <w:b/>
          <w:bCs/>
          <w:color w:val="1F3864"/>
          <w:sz w:val="28"/>
          <w:szCs w:val="28"/>
        </w:rPr>
        <w:t xml:space="preserve">4. Compromisuri: Performanță vs. Consistența Datelor</w:t>
      </w:r>
    </w:p>
    <w:p>
      <w:pPr>
        <w:spacing w:after="80" w:before="80"/>
      </w:pPr>
      <w:r>
        <w:rPr>
          <w:rFonts w:ascii="Arial" w:cs="Arial" w:eastAsia="Arial" w:hAnsi="Arial"/>
          <w:sz w:val="21"/>
          <w:szCs w:val="21"/>
        </w:rPr>
        <w:t xml:space="preserve">Alegerea nivelului de izolare și a strategiei de tranzacție implică întotdeauna un echilibru între două obiective uneori contradictorii:</w:t>
      </w:r>
    </w:p>
    <w:p>
      <w:pPr>
        <w:spacing w:after="40" w:before="40"/>
      </w:pPr>
      <w:r>
        <w:t xml:space="preserve"/>
      </w:r>
    </w:p>
    <w:p>
      <w:pPr>
        <w:pStyle w:val="ListParagraph"/>
        <w:numPr>
          <w:ilvl w:val="0"/>
          <w:numId w:val="2"/>
        </w:numPr>
        <w:spacing w:after="50" w:before="50"/>
      </w:pPr>
      <w:r>
        <w:rPr>
          <w:rFonts w:ascii="Arial" w:cs="Arial" w:eastAsia="Arial" w:hAnsi="Arial"/>
          <w:sz w:val="21"/>
          <w:szCs w:val="21"/>
        </w:rPr>
        <w:t xml:space="preserve">Nivelurile de izolare mai stricte reduc concurența prin aplicarea mai multor lock-uri și pot genera timpi de așteptare sau deadlock-uri la trafic ridicat, dar garantează corectitudinea completă a datelor.</w:t>
      </w:r>
    </w:p>
    <w:p>
      <w:pPr>
        <w:pStyle w:val="ListParagraph"/>
        <w:numPr>
          <w:ilvl w:val="0"/>
          <w:numId w:val="2"/>
        </w:numPr>
        <w:spacing w:after="50" w:before="50"/>
      </w:pPr>
      <w:r>
        <w:rPr>
          <w:rFonts w:ascii="Arial" w:cs="Arial" w:eastAsia="Arial" w:hAnsi="Arial"/>
          <w:sz w:val="21"/>
          <w:szCs w:val="21"/>
        </w:rPr>
        <w:t xml:space="preserve">Nivelurile permisive maximizează throughput-ul și minimizează blocajele, dar expun aplicația la anomalii de concurență care pot produce rezultate incorecte sau pierderi de date.</w:t>
      </w:r>
    </w:p>
    <w:p>
      <w:pPr>
        <w:pStyle w:val="ListParagraph"/>
        <w:numPr>
          <w:ilvl w:val="0"/>
          <w:numId w:val="2"/>
        </w:numPr>
        <w:spacing w:after="50" w:before="50"/>
      </w:pPr>
      <w:r>
        <w:rPr>
          <w:rFonts w:ascii="Arial" w:cs="Arial" w:eastAsia="Arial" w:hAnsi="Arial"/>
          <w:sz w:val="21"/>
          <w:szCs w:val="21"/>
        </w:rPr>
        <w:t xml:space="preserve">Strategiile de commit influențează performanța de scriere, nu corectitudinea finală — toate cele trei abordări produc același set de date la final; diferă viteza și granularitatea recuperării în caz de eroare.</w:t>
      </w:r>
    </w:p>
    <w:p>
      <w:pPr>
        <w:pStyle w:val="ListParagraph"/>
        <w:numPr>
          <w:ilvl w:val="0"/>
          <w:numId w:val="2"/>
        </w:numPr>
        <w:spacing w:after="50" w:before="50"/>
      </w:pPr>
      <w:r>
        <w:rPr>
          <w:rFonts w:ascii="Arial" w:cs="Arial" w:eastAsia="Arial" w:hAnsi="Arial"/>
          <w:sz w:val="21"/>
          <w:szCs w:val="21"/>
        </w:rPr>
        <w:t xml:space="preserve">Auto-commit oferă cea mai fină granularitate de recuperare (fiecare rând e durabil imediat), dar cu cel mai mare cost de performanță.</w:t>
      </w:r>
    </w:p>
    <w:p>
      <w:pPr>
        <w:pStyle w:val="ListParagraph"/>
        <w:numPr>
          <w:ilvl w:val="0"/>
          <w:numId w:val="2"/>
        </w:numPr>
        <w:spacing w:after="50" w:before="50"/>
      </w:pPr>
      <w:r>
        <w:rPr>
          <w:rFonts w:ascii="Arial" w:cs="Arial" w:eastAsia="Arial" w:hAnsi="Arial"/>
          <w:sz w:val="21"/>
          <w:szCs w:val="21"/>
        </w:rPr>
        <w:t xml:space="preserve">Single-TX cu batch API oferă viteza maximă, dar o eroare critică la sfârșitul inserării poate invalida întreaga operație.</w:t>
      </w:r>
    </w:p>
    <w:p>
      <w:pPr>
        <w:spacing w:after="80" w:before="80"/>
      </w:pPr>
      <w:r>
        <w:t xml:space="preserve"/>
      </w:r>
    </w:p>
    <w:p>
      <w:pPr>
        <w:pStyle w:val="Heading1"/>
        <w:spacing w:after="100" w:before="240"/>
      </w:pPr>
      <w:r>
        <w:rPr>
          <w:rFonts w:ascii="Arial" w:cs="Arial" w:eastAsia="Arial" w:hAnsi="Arial"/>
          <w:b/>
          <w:bCs/>
          <w:color w:val="1F3864"/>
          <w:sz w:val="28"/>
          <w:szCs w:val="28"/>
        </w:rPr>
        <w:t xml:space="preserve">5. Scenarii Reale — Alegerea Nivelului de Izolare</w:t>
      </w:r>
    </w:p>
    <w:p>
      <w:pPr>
        <w:spacing w:after="80" w:before="80"/>
      </w:pPr>
      <w:r>
        <w:rPr>
          <w:rFonts w:ascii="Arial" w:cs="Arial" w:eastAsia="Arial" w:hAnsi="Arial"/>
          <w:sz w:val="21"/>
          <w:szCs w:val="21"/>
        </w:rPr>
        <w:t xml:space="preserve">Tabelul următor prezintă scenarii concrete din industrie și nivelul de izolare recomandat pentru fiecare, justificat prin cerințele specifice de consistență și performanță:</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426"/>
        <w:gridCol w:w="3400"/>
      </w:tblGrid>
      <w:tr>
        <w:trPr>
          <w:tblHeader/>
        </w:trPr>
        <w:tc>
          <w:tcPr>
            <w:tcW w:type="dxa" w:w="3200"/>
            <w:tcBorders>
              <w:top w:val="single" w:color="2E75B6" w:sz="1"/>
              <w:left w:val="single" w:color="2E75B6" w:sz="1"/>
              <w:bottom w:val="single" w:color="2E75B6" w:sz="1"/>
              <w:right w:val="single" w:color="2E75B6" w:sz="1"/>
            </w:tcBorders>
            <w:shd w:fill="2E75B6" w:val="clear"/>
            <w:tcMar>
              <w:top w:type="dxa" w:w="80"/>
              <w:left w:type="dxa" w:w="110"/>
              <w:bottom w:type="dxa" w:w="80"/>
              <w:right w:type="dxa" w:w="110"/>
            </w:tcMar>
          </w:tcPr>
          <w:p>
            <w:pPr>
              <w:jc w:val="center"/>
            </w:pPr>
            <w:r>
              <w:rPr>
                <w:rFonts w:ascii="Arial" w:cs="Arial" w:eastAsia="Arial" w:hAnsi="Arial"/>
                <w:b/>
                <w:bCs/>
                <w:color w:val="FFFFFF"/>
                <w:sz w:val="20"/>
                <w:szCs w:val="20"/>
              </w:rPr>
              <w:t xml:space="preserve">Scenariu</w:t>
            </w:r>
          </w:p>
        </w:tc>
        <w:tc>
          <w:tcPr>
            <w:tcW w:type="dxa" w:w="2426"/>
            <w:tcBorders>
              <w:top w:val="single" w:color="2E75B6" w:sz="1"/>
              <w:left w:val="single" w:color="2E75B6" w:sz="1"/>
              <w:bottom w:val="single" w:color="2E75B6" w:sz="1"/>
              <w:right w:val="single" w:color="2E75B6" w:sz="1"/>
            </w:tcBorders>
            <w:shd w:fill="2E75B6" w:val="clear"/>
            <w:tcMar>
              <w:top w:type="dxa" w:w="80"/>
              <w:left w:type="dxa" w:w="110"/>
              <w:bottom w:type="dxa" w:w="80"/>
              <w:right w:type="dxa" w:w="110"/>
            </w:tcMar>
          </w:tcPr>
          <w:p>
            <w:pPr>
              <w:jc w:val="center"/>
            </w:pPr>
            <w:r>
              <w:rPr>
                <w:rFonts w:ascii="Arial" w:cs="Arial" w:eastAsia="Arial" w:hAnsi="Arial"/>
                <w:b/>
                <w:bCs/>
                <w:color w:val="FFFFFF"/>
                <w:sz w:val="20"/>
                <w:szCs w:val="20"/>
              </w:rPr>
              <w:t xml:space="preserve">Nivel Recomandat</w:t>
            </w:r>
          </w:p>
        </w:tc>
        <w:tc>
          <w:tcPr>
            <w:tcW w:type="dxa" w:w="3400"/>
            <w:tcBorders>
              <w:top w:val="single" w:color="2E75B6" w:sz="1"/>
              <w:left w:val="single" w:color="2E75B6" w:sz="1"/>
              <w:bottom w:val="single" w:color="2E75B6" w:sz="1"/>
              <w:right w:val="single" w:color="2E75B6" w:sz="1"/>
            </w:tcBorders>
            <w:shd w:fill="2E75B6" w:val="clear"/>
            <w:tcMar>
              <w:top w:type="dxa" w:w="80"/>
              <w:left w:type="dxa" w:w="110"/>
              <w:bottom w:type="dxa" w:w="80"/>
              <w:right w:type="dxa" w:w="110"/>
            </w:tcMar>
          </w:tcPr>
          <w:p>
            <w:pPr>
              <w:jc w:val="center"/>
            </w:pPr>
            <w:r>
              <w:rPr>
                <w:rFonts w:ascii="Arial" w:cs="Arial" w:eastAsia="Arial" w:hAnsi="Arial"/>
                <w:b/>
                <w:bCs/>
                <w:color w:val="FFFFFF"/>
                <w:sz w:val="20"/>
                <w:szCs w:val="20"/>
              </w:rPr>
              <w:t xml:space="preserve">Motivare</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left"/>
            </w:pPr>
            <w:r>
              <w:rPr>
                <w:rFonts w:ascii="Arial" w:cs="Arial" w:eastAsia="Arial" w:hAnsi="Arial"/>
                <w:sz w:val="20"/>
                <w:szCs w:val="20"/>
              </w:rPr>
              <w:t xml:space="preserve">Dashboard analytics / telemetrie</w:t>
            </w:r>
          </w:p>
        </w:tc>
        <w:tc>
          <w:tcPr>
            <w:tcW w:type="dxa" w:w="2426"/>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left"/>
            </w:pPr>
            <w:r>
              <w:rPr>
                <w:rFonts w:ascii="Arial" w:cs="Arial" w:eastAsia="Arial" w:hAnsi="Arial"/>
                <w:b/>
                <w:bCs/>
                <w:color w:val="2E75B6"/>
                <w:sz w:val="20"/>
                <w:szCs w:val="20"/>
              </w:rPr>
              <w:t xml:space="preserve">READ UNCOMMITTED</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left"/>
            </w:pPr>
            <w:r>
              <w:rPr>
                <w:rFonts w:ascii="Arial" w:cs="Arial" w:eastAsia="Arial" w:hAnsi="Arial"/>
                <w:sz w:val="20"/>
                <w:szCs w:val="20"/>
              </w:rPr>
              <w:t xml:space="preserve">Performanță maximă; mici inexactități sunt acceptabile pentru grafice de trend.</w:t>
            </w:r>
          </w:p>
        </w:tc>
      </w:tr>
      <w:tr>
        <w:tc>
          <w:tcPr>
            <w:tcW w:type="dxa" w:w="3200"/>
            <w:tcBorders>
              <w:top w:val="single" w:color="BBBBBB" w:sz="1"/>
              <w:left w:val="single" w:color="BBBBBB" w:sz="1"/>
              <w:bottom w:val="single" w:color="BBBBBB" w:sz="1"/>
              <w:right w:val="single" w:color="BBBBBB" w:sz="1"/>
            </w:tcBorders>
            <w:shd w:fill="EBF3FA" w:val="clear"/>
            <w:tcMar>
              <w:top w:type="dxa" w:w="80"/>
              <w:left w:type="dxa" w:w="110"/>
              <w:bottom w:type="dxa" w:w="80"/>
              <w:right w:type="dxa" w:w="110"/>
            </w:tcMar>
          </w:tcPr>
          <w:p>
            <w:pPr>
              <w:jc w:val="left"/>
            </w:pPr>
            <w:r>
              <w:rPr>
                <w:rFonts w:ascii="Arial" w:cs="Arial" w:eastAsia="Arial" w:hAnsi="Arial"/>
                <w:sz w:val="20"/>
                <w:szCs w:val="20"/>
              </w:rPr>
              <w:t xml:space="preserve">Aplicație e-commerce (coș, stoc)</w:t>
            </w:r>
          </w:p>
        </w:tc>
        <w:tc>
          <w:tcPr>
            <w:tcW w:type="dxa" w:w="2426"/>
            <w:tcBorders>
              <w:top w:val="single" w:color="BBBBBB" w:sz="1"/>
              <w:left w:val="single" w:color="BBBBBB" w:sz="1"/>
              <w:bottom w:val="single" w:color="BBBBBB" w:sz="1"/>
              <w:right w:val="single" w:color="BBBBBB" w:sz="1"/>
            </w:tcBorders>
            <w:shd w:fill="EBF3FA" w:val="clear"/>
            <w:tcMar>
              <w:top w:type="dxa" w:w="80"/>
              <w:left w:type="dxa" w:w="110"/>
              <w:bottom w:type="dxa" w:w="80"/>
              <w:right w:type="dxa" w:w="110"/>
            </w:tcMar>
          </w:tcPr>
          <w:p>
            <w:pPr>
              <w:jc w:val="left"/>
            </w:pPr>
            <w:r>
              <w:rPr>
                <w:rFonts w:ascii="Arial" w:cs="Arial" w:eastAsia="Arial" w:hAnsi="Arial"/>
                <w:b/>
                <w:bCs/>
                <w:color w:val="2E75B6"/>
                <w:sz w:val="20"/>
                <w:szCs w:val="20"/>
              </w:rPr>
              <w:t xml:space="preserve">READ COMMITTED</w:t>
            </w:r>
          </w:p>
        </w:tc>
        <w:tc>
          <w:tcPr>
            <w:tcW w:type="dxa" w:w="3400"/>
            <w:tcBorders>
              <w:top w:val="single" w:color="BBBBBB" w:sz="1"/>
              <w:left w:val="single" w:color="BBBBBB" w:sz="1"/>
              <w:bottom w:val="single" w:color="BBBBBB" w:sz="1"/>
              <w:right w:val="single" w:color="BBBBBB" w:sz="1"/>
            </w:tcBorders>
            <w:shd w:fill="EBF3FA" w:val="clear"/>
            <w:tcMar>
              <w:top w:type="dxa" w:w="80"/>
              <w:left w:type="dxa" w:w="110"/>
              <w:bottom w:type="dxa" w:w="80"/>
              <w:right w:type="dxa" w:w="110"/>
            </w:tcMar>
          </w:tcPr>
          <w:p>
            <w:pPr>
              <w:jc w:val="left"/>
            </w:pPr>
            <w:r>
              <w:rPr>
                <w:rFonts w:ascii="Arial" w:cs="Arial" w:eastAsia="Arial" w:hAnsi="Arial"/>
                <w:sz w:val="20"/>
                <w:szCs w:val="20"/>
              </w:rPr>
              <w:t xml:space="preserve">Previne dirty reads; nivel implicit PostgreSQL și Oracle.</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left"/>
            </w:pPr>
            <w:r>
              <w:rPr>
                <w:rFonts w:ascii="Arial" w:cs="Arial" w:eastAsia="Arial" w:hAnsi="Arial"/>
                <w:sz w:val="20"/>
                <w:szCs w:val="20"/>
              </w:rPr>
              <w:t xml:space="preserve">Rapoarte financiare lunare</w:t>
            </w:r>
          </w:p>
        </w:tc>
        <w:tc>
          <w:tcPr>
            <w:tcW w:type="dxa" w:w="2426"/>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left"/>
            </w:pPr>
            <w:r>
              <w:rPr>
                <w:rFonts w:ascii="Arial" w:cs="Arial" w:eastAsia="Arial" w:hAnsi="Arial"/>
                <w:b/>
                <w:bCs/>
                <w:color w:val="2E75B6"/>
                <w:sz w:val="20"/>
                <w:szCs w:val="20"/>
              </w:rPr>
              <w:t xml:space="preserve">REPEATABLE READ</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left"/>
            </w:pPr>
            <w:r>
              <w:rPr>
                <w:rFonts w:ascii="Arial" w:cs="Arial" w:eastAsia="Arial" w:hAnsi="Arial"/>
                <w:sz w:val="20"/>
                <w:szCs w:val="20"/>
              </w:rPr>
              <w:t xml:space="preserve">Totalurile calculate intern trebuie să fie consistente pe durata tranzacției.</w:t>
            </w:r>
          </w:p>
        </w:tc>
      </w:tr>
      <w:tr>
        <w:tc>
          <w:tcPr>
            <w:tcW w:type="dxa" w:w="3200"/>
            <w:tcBorders>
              <w:top w:val="single" w:color="BBBBBB" w:sz="1"/>
              <w:left w:val="single" w:color="BBBBBB" w:sz="1"/>
              <w:bottom w:val="single" w:color="BBBBBB" w:sz="1"/>
              <w:right w:val="single" w:color="BBBBBB" w:sz="1"/>
            </w:tcBorders>
            <w:shd w:fill="EBF3FA" w:val="clear"/>
            <w:tcMar>
              <w:top w:type="dxa" w:w="80"/>
              <w:left w:type="dxa" w:w="110"/>
              <w:bottom w:type="dxa" w:w="80"/>
              <w:right w:type="dxa" w:w="110"/>
            </w:tcMar>
          </w:tcPr>
          <w:p>
            <w:pPr>
              <w:jc w:val="left"/>
            </w:pPr>
            <w:r>
              <w:rPr>
                <w:rFonts w:ascii="Arial" w:cs="Arial" w:eastAsia="Arial" w:hAnsi="Arial"/>
                <w:sz w:val="20"/>
                <w:szCs w:val="20"/>
              </w:rPr>
              <w:t xml:space="preserve">Transfer bancar interconturi</w:t>
            </w:r>
          </w:p>
        </w:tc>
        <w:tc>
          <w:tcPr>
            <w:tcW w:type="dxa" w:w="2426"/>
            <w:tcBorders>
              <w:top w:val="single" w:color="BBBBBB" w:sz="1"/>
              <w:left w:val="single" w:color="BBBBBB" w:sz="1"/>
              <w:bottom w:val="single" w:color="BBBBBB" w:sz="1"/>
              <w:right w:val="single" w:color="BBBBBB" w:sz="1"/>
            </w:tcBorders>
            <w:shd w:fill="EBF3FA" w:val="clear"/>
            <w:tcMar>
              <w:top w:type="dxa" w:w="80"/>
              <w:left w:type="dxa" w:w="110"/>
              <w:bottom w:type="dxa" w:w="80"/>
              <w:right w:type="dxa" w:w="110"/>
            </w:tcMar>
          </w:tcPr>
          <w:p>
            <w:pPr>
              <w:jc w:val="left"/>
            </w:pPr>
            <w:r>
              <w:rPr>
                <w:rFonts w:ascii="Arial" w:cs="Arial" w:eastAsia="Arial" w:hAnsi="Arial"/>
                <w:b/>
                <w:bCs/>
                <w:color w:val="2E75B6"/>
                <w:sz w:val="20"/>
                <w:szCs w:val="20"/>
              </w:rPr>
              <w:t xml:space="preserve">SERIALIZABLE</w:t>
            </w:r>
          </w:p>
        </w:tc>
        <w:tc>
          <w:tcPr>
            <w:tcW w:type="dxa" w:w="3400"/>
            <w:tcBorders>
              <w:top w:val="single" w:color="BBBBBB" w:sz="1"/>
              <w:left w:val="single" w:color="BBBBBB" w:sz="1"/>
              <w:bottom w:val="single" w:color="BBBBBB" w:sz="1"/>
              <w:right w:val="single" w:color="BBBBBB" w:sz="1"/>
            </w:tcBorders>
            <w:shd w:fill="EBF3FA" w:val="clear"/>
            <w:tcMar>
              <w:top w:type="dxa" w:w="80"/>
              <w:left w:type="dxa" w:w="110"/>
              <w:bottom w:type="dxa" w:w="80"/>
              <w:right w:type="dxa" w:w="110"/>
            </w:tcMar>
          </w:tcPr>
          <w:p>
            <w:pPr>
              <w:jc w:val="left"/>
            </w:pPr>
            <w:r>
              <w:rPr>
                <w:rFonts w:ascii="Arial" w:cs="Arial" w:eastAsia="Arial" w:hAnsi="Arial"/>
                <w:sz w:val="20"/>
                <w:szCs w:val="20"/>
              </w:rPr>
              <w:t xml:space="preserve">Nicio anomalie tolerată; suma totală din sistem nu trebuie să se modifice.</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left"/>
            </w:pPr>
            <w:r>
              <w:rPr>
                <w:rFonts w:ascii="Arial" w:cs="Arial" w:eastAsia="Arial" w:hAnsi="Arial"/>
                <w:sz w:val="20"/>
                <w:szCs w:val="20"/>
              </w:rPr>
              <w:t xml:space="preserve">Rezervare bilete (avion/tren)</w:t>
            </w:r>
          </w:p>
        </w:tc>
        <w:tc>
          <w:tcPr>
            <w:tcW w:type="dxa" w:w="2426"/>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left"/>
            </w:pPr>
            <w:r>
              <w:rPr>
                <w:rFonts w:ascii="Arial" w:cs="Arial" w:eastAsia="Arial" w:hAnsi="Arial"/>
                <w:b/>
                <w:bCs/>
                <w:color w:val="2E75B6"/>
                <w:sz w:val="20"/>
                <w:szCs w:val="20"/>
              </w:rPr>
              <w:t xml:space="preserve">SERIALIZABLE / SELECT FOR UPDATE</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left"/>
            </w:pPr>
            <w:r>
              <w:rPr>
                <w:rFonts w:ascii="Arial" w:cs="Arial" w:eastAsia="Arial" w:hAnsi="Arial"/>
                <w:sz w:val="20"/>
                <w:szCs w:val="20"/>
              </w:rPr>
              <w:t xml:space="preserve">Overbooking-ul trebuie strict prevenit.</w:t>
            </w:r>
          </w:p>
        </w:tc>
      </w:tr>
      <w:tr>
        <w:tc>
          <w:tcPr>
            <w:tcW w:type="dxa" w:w="3200"/>
            <w:tcBorders>
              <w:top w:val="single" w:color="BBBBBB" w:sz="1"/>
              <w:left w:val="single" w:color="BBBBBB" w:sz="1"/>
              <w:bottom w:val="single" w:color="BBBBBB" w:sz="1"/>
              <w:right w:val="single" w:color="BBBBBB" w:sz="1"/>
            </w:tcBorders>
            <w:shd w:fill="EBF3FA" w:val="clear"/>
            <w:tcMar>
              <w:top w:type="dxa" w:w="80"/>
              <w:left w:type="dxa" w:w="110"/>
              <w:bottom w:type="dxa" w:w="80"/>
              <w:right w:type="dxa" w:w="110"/>
            </w:tcMar>
          </w:tcPr>
          <w:p>
            <w:pPr>
              <w:jc w:val="left"/>
            </w:pPr>
            <w:r>
              <w:rPr>
                <w:rFonts w:ascii="Arial" w:cs="Arial" w:eastAsia="Arial" w:hAnsi="Arial"/>
                <w:sz w:val="20"/>
                <w:szCs w:val="20"/>
              </w:rPr>
              <w:t xml:space="preserve">Import bulk date (ETL nocturn)</w:t>
            </w:r>
          </w:p>
        </w:tc>
        <w:tc>
          <w:tcPr>
            <w:tcW w:type="dxa" w:w="2426"/>
            <w:tcBorders>
              <w:top w:val="single" w:color="BBBBBB" w:sz="1"/>
              <w:left w:val="single" w:color="BBBBBB" w:sz="1"/>
              <w:bottom w:val="single" w:color="BBBBBB" w:sz="1"/>
              <w:right w:val="single" w:color="BBBBBB" w:sz="1"/>
            </w:tcBorders>
            <w:shd w:fill="EBF3FA" w:val="clear"/>
            <w:tcMar>
              <w:top w:type="dxa" w:w="80"/>
              <w:left w:type="dxa" w:w="110"/>
              <w:bottom w:type="dxa" w:w="80"/>
              <w:right w:type="dxa" w:w="110"/>
            </w:tcMar>
          </w:tcPr>
          <w:p>
            <w:pPr>
              <w:jc w:val="left"/>
            </w:pPr>
            <w:r>
              <w:rPr>
                <w:rFonts w:ascii="Arial" w:cs="Arial" w:eastAsia="Arial" w:hAnsi="Arial"/>
                <w:b/>
                <w:bCs/>
                <w:color w:val="2E75B6"/>
                <w:sz w:val="20"/>
                <w:szCs w:val="20"/>
              </w:rPr>
              <w:t xml:space="preserve">READ COMMITTED + batch</w:t>
            </w:r>
          </w:p>
        </w:tc>
        <w:tc>
          <w:tcPr>
            <w:tcW w:type="dxa" w:w="3400"/>
            <w:tcBorders>
              <w:top w:val="single" w:color="BBBBBB" w:sz="1"/>
              <w:left w:val="single" w:color="BBBBBB" w:sz="1"/>
              <w:bottom w:val="single" w:color="BBBBBB" w:sz="1"/>
              <w:right w:val="single" w:color="BBBBBB" w:sz="1"/>
            </w:tcBorders>
            <w:shd w:fill="EBF3FA" w:val="clear"/>
            <w:tcMar>
              <w:top w:type="dxa" w:w="80"/>
              <w:left w:type="dxa" w:w="110"/>
              <w:bottom w:type="dxa" w:w="80"/>
              <w:right w:type="dxa" w:w="110"/>
            </w:tcMar>
          </w:tcPr>
          <w:p>
            <w:pPr>
              <w:jc w:val="left"/>
            </w:pPr>
            <w:r>
              <w:rPr>
                <w:rFonts w:ascii="Arial" w:cs="Arial" w:eastAsia="Arial" w:hAnsi="Arial"/>
                <w:sz w:val="20"/>
                <w:szCs w:val="20"/>
              </w:rPr>
              <w:t xml:space="preserve">Viteză maximă de inserare; consistență garantată la nivel de batch.</w:t>
            </w:r>
          </w:p>
        </w:tc>
      </w:tr>
    </w:tbl>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4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160"/>
      <w:outlineLvl w:val="1"/>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2026-04-02T19:46:23.515Z</dcterms:created>
  <dcterms:modified xsi:type="dcterms:W3CDTF">2026-04-02T19:46:23.516Z</dcterms:modified>
</cp:coreProperties>
</file>

<file path=docProps/custom.xml><?xml version="1.0" encoding="utf-8"?>
<Properties xmlns="http://schemas.openxmlformats.org/officeDocument/2006/custom-properties" xmlns:vt="http://schemas.openxmlformats.org/officeDocument/2006/docPropsVTypes"/>
</file>