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PALEOBOT</w:t>
      </w:r>
    </w:p>
    <w:p>
      <w:r>
        <w:rPr>
          <w:color w:val="52656B"/>
          <w:sz w:val="26"/>
        </w:rPr>
        <w:t>Informe consolidado de estado, decisiones y regresiones</w:t>
      </w:r>
    </w:p>
    <w:p>
      <w:pPr>
        <w:spacing w:after="200"/>
      </w:pPr>
      <w:r>
        <w:t>24 de octubre de 2026 · PB-AUD-01</w:t>
      </w:r>
    </w:p>
    <w:p>
      <w:pPr>
        <w:pStyle w:val="Heading1"/>
      </w:pPr>
      <w:r>
        <w:t>1. Dictamen y decisiones principales</w:t>
      </w:r>
    </w:p>
    <w:p>
      <w:r>
        <w:t>Paleobot reúne un catálogo y un conjunto amplio de herramientas docentes cuyo valor conviene conservar. El problema principal es la convivencia de varias ramas y de comprobaciones de alcance diferente. La evidencia recuperada no permite promover el conjunto completo a una versión validada para Moodle.</w:t>
      </w:r>
    </w:p>
    <w:tbl>
      <w:tblPr>
        <w:tblW w:type="auto" w:w="0"/>
        <w:jc w:val="center"/>
        <w:tblLayout w:type="fixed"/>
        <w:tblLook w:firstColumn="1" w:firstRow="1" w:lastColumn="0" w:lastRow="0" w:noHBand="0" w:noVBand="1" w:val="04A0"/>
      </w:tblPr>
      <w:tblGrid>
        <w:gridCol w:w="6520"/>
        <w:gridCol w:w="3005"/>
      </w:tblGrid>
      <w:tr>
        <w:trPr>
          <w:tblHeader/>
          <w:cantSplit/>
        </w:trPr>
        <w:tc>
          <w:tcPr>
            <w:tcW w:type="dxa" w:w="6520"/>
            <w:shd w:fill="E7EFF0"/>
            <w:tcMar>
              <w:top w:w="80" w:type="dxa"/>
              <w:left w:w="80" w:type="dxa"/>
              <w:bottom w:w="80" w:type="dxa"/>
              <w:right w:w="80" w:type="dxa"/>
            </w:tcMar>
          </w:tcPr>
          <w:p>
            <w:pPr>
              <w:spacing w:after="40" w:before="20" w:line="245" w:lineRule="auto"/>
            </w:pPr>
            <w:r>
              <w:rPr>
                <w:b/>
                <w:color w:val="173E48"/>
                <w:sz w:val="18"/>
              </w:rPr>
              <w:t>Resultado de la reconstrucción</w:t>
            </w:r>
          </w:p>
        </w:tc>
        <w:tc>
          <w:tcPr>
            <w:tcW w:type="dxa" w:w="3005"/>
            <w:shd w:fill="E7EFF0"/>
            <w:tcMar>
              <w:top w:w="80" w:type="dxa"/>
              <w:left w:w="80" w:type="dxa"/>
              <w:bottom w:w="80" w:type="dxa"/>
              <w:right w:w="80" w:type="dxa"/>
            </w:tcMar>
          </w:tcPr>
          <w:p>
            <w:pPr>
              <w:spacing w:after="40" w:before="20" w:line="245" w:lineRule="auto"/>
            </w:pPr>
            <w:r>
              <w:rPr>
                <w:b/>
                <w:color w:val="173E48"/>
                <w:sz w:val="18"/>
              </w:rPr>
              <w:t>Valor</w:t>
            </w:r>
          </w:p>
        </w:tc>
      </w:tr>
      <w:tr>
        <w:trPr>
          <w:cantSplit/>
        </w:trPr>
        <w:tc>
          <w:tcPr>
            <w:tcW w:type="dxa" w:w="6520"/>
            <w:vAlign w:val="top"/>
            <w:tcMar>
              <w:top w:w="80" w:type="dxa"/>
              <w:left w:w="80" w:type="dxa"/>
              <w:bottom w:w="80" w:type="dxa"/>
              <w:right w:w="80" w:type="dxa"/>
            </w:tcMar>
          </w:tcPr>
          <w:p>
            <w:pPr>
              <w:spacing w:after="40" w:before="20" w:line="245" w:lineRule="auto"/>
            </w:pPr>
            <w:r>
              <w:rPr>
                <w:sz w:val="18"/>
              </w:rPr>
              <w:t>Artefactos inventariados por identidad</w:t>
            </w:r>
          </w:p>
        </w:tc>
        <w:tc>
          <w:tcPr>
            <w:tcW w:type="dxa" w:w="3005"/>
            <w:vAlign w:val="top"/>
            <w:tcMar>
              <w:top w:w="80" w:type="dxa"/>
              <w:left w:w="80" w:type="dxa"/>
              <w:bottom w:w="80" w:type="dxa"/>
              <w:right w:w="80" w:type="dxa"/>
            </w:tcMar>
          </w:tcPr>
          <w:p>
            <w:pPr>
              <w:spacing w:after="40" w:before="20" w:line="245" w:lineRule="auto"/>
            </w:pPr>
            <w:r>
              <w:rPr>
                <w:sz w:val="18"/>
              </w:rPr>
              <w:t>272</w:t>
            </w:r>
          </w:p>
        </w:tc>
      </w:tr>
      <w:tr>
        <w:trPr>
          <w:cantSplit/>
        </w:trPr>
        <w:tc>
          <w:tcPr>
            <w:tcW w:type="dxa" w:w="6520"/>
            <w:vAlign w:val="top"/>
            <w:tcMar>
              <w:top w:w="80" w:type="dxa"/>
              <w:left w:w="80" w:type="dxa"/>
              <w:bottom w:w="80" w:type="dxa"/>
              <w:right w:w="80" w:type="dxa"/>
            </w:tcMar>
          </w:tcPr>
          <w:p>
            <w:pPr>
              <w:spacing w:after="40" w:before="20" w:line="245" w:lineRule="auto"/>
            </w:pPr>
            <w:r>
              <w:rPr>
                <w:sz w:val="18"/>
              </w:rPr>
              <w:t>Archivos recuperados para esta revisión</w:t>
            </w:r>
          </w:p>
        </w:tc>
        <w:tc>
          <w:tcPr>
            <w:tcW w:type="dxa" w:w="3005"/>
            <w:vAlign w:val="top"/>
            <w:tcMar>
              <w:top w:w="80" w:type="dxa"/>
              <w:left w:w="80" w:type="dxa"/>
              <w:bottom w:w="80" w:type="dxa"/>
              <w:right w:w="80" w:type="dxa"/>
            </w:tcMar>
          </w:tcPr>
          <w:p>
            <w:pPr>
              <w:spacing w:after="40" w:before="20" w:line="245" w:lineRule="auto"/>
            </w:pPr>
            <w:r>
              <w:rPr>
                <w:sz w:val="18"/>
              </w:rPr>
              <w:t>115</w:t>
            </w:r>
          </w:p>
        </w:tc>
      </w:tr>
      <w:tr>
        <w:trPr>
          <w:cantSplit/>
        </w:trPr>
        <w:tc>
          <w:tcPr>
            <w:tcW w:type="dxa" w:w="6520"/>
            <w:vAlign w:val="top"/>
            <w:tcMar>
              <w:top w:w="80" w:type="dxa"/>
              <w:left w:w="80" w:type="dxa"/>
              <w:bottom w:w="80" w:type="dxa"/>
              <w:right w:w="80" w:type="dxa"/>
            </w:tcMar>
          </w:tcPr>
          <w:p>
            <w:pPr>
              <w:spacing w:after="40" w:before="20" w:line="245" w:lineRule="auto"/>
            </w:pPr>
            <w:r>
              <w:rPr>
                <w:sz w:val="18"/>
              </w:rPr>
              <w:t>Asuntos registrados</w:t>
            </w:r>
          </w:p>
        </w:tc>
        <w:tc>
          <w:tcPr>
            <w:tcW w:type="dxa" w:w="3005"/>
            <w:vAlign w:val="top"/>
            <w:tcMar>
              <w:top w:w="80" w:type="dxa"/>
              <w:left w:w="80" w:type="dxa"/>
              <w:bottom w:w="80" w:type="dxa"/>
              <w:right w:w="80" w:type="dxa"/>
            </w:tcMar>
          </w:tcPr>
          <w:p>
            <w:pPr>
              <w:spacing w:after="40" w:before="20" w:line="245" w:lineRule="auto"/>
            </w:pPr>
            <w:r>
              <w:rPr>
                <w:sz w:val="18"/>
              </w:rPr>
              <w:t>36: 8 P0, 24 P1 y 4 P2</w:t>
            </w:r>
          </w:p>
        </w:tc>
      </w:tr>
      <w:tr>
        <w:trPr>
          <w:cantSplit/>
        </w:trPr>
        <w:tc>
          <w:tcPr>
            <w:tcW w:type="dxa" w:w="6520"/>
            <w:vAlign w:val="top"/>
            <w:tcMar>
              <w:top w:w="80" w:type="dxa"/>
              <w:left w:w="80" w:type="dxa"/>
              <w:bottom w:w="80" w:type="dxa"/>
              <w:right w:w="80" w:type="dxa"/>
            </w:tcMar>
          </w:tcPr>
          <w:p>
            <w:pPr>
              <w:spacing w:after="40" w:before="20" w:line="245" w:lineRule="auto"/>
            </w:pPr>
            <w:r>
              <w:rPr>
                <w:sz w:val="18"/>
              </w:rPr>
              <w:t>ZIP comprobados ahora</w:t>
            </w:r>
          </w:p>
        </w:tc>
        <w:tc>
          <w:tcPr>
            <w:tcW w:type="dxa" w:w="3005"/>
            <w:vAlign w:val="top"/>
            <w:tcMar>
              <w:top w:w="80" w:type="dxa"/>
              <w:left w:w="80" w:type="dxa"/>
              <w:bottom w:w="80" w:type="dxa"/>
              <w:right w:w="80" w:type="dxa"/>
            </w:tcMar>
          </w:tcPr>
          <w:p>
            <w:pPr>
              <w:spacing w:after="40" w:before="20" w:line="245" w:lineRule="auto"/>
            </w:pPr>
            <w:r>
              <w:rPr>
                <w:sz w:val="18"/>
              </w:rPr>
              <w:t>36, sin fallo CRC</w:t>
            </w:r>
          </w:p>
        </w:tc>
      </w:tr>
      <w:tr>
        <w:trPr>
          <w:cantSplit/>
        </w:trPr>
        <w:tc>
          <w:tcPr>
            <w:tcW w:type="dxa" w:w="6520"/>
            <w:vAlign w:val="top"/>
            <w:tcMar>
              <w:top w:w="80" w:type="dxa"/>
              <w:left w:w="80" w:type="dxa"/>
              <w:bottom w:w="80" w:type="dxa"/>
              <w:right w:w="80" w:type="dxa"/>
            </w:tcMar>
          </w:tcPr>
          <w:p>
            <w:pPr>
              <w:spacing w:after="40" w:before="20" w:line="245" w:lineRule="auto"/>
            </w:pPr>
            <w:r>
              <w:rPr>
                <w:sz w:val="18"/>
              </w:rPr>
              <w:t>Bloques JavaScript analizados ahora</w:t>
            </w:r>
          </w:p>
        </w:tc>
        <w:tc>
          <w:tcPr>
            <w:tcW w:type="dxa" w:w="3005"/>
            <w:vAlign w:val="top"/>
            <w:tcMar>
              <w:top w:w="80" w:type="dxa"/>
              <w:left w:w="80" w:type="dxa"/>
              <w:bottom w:w="80" w:type="dxa"/>
              <w:right w:w="80" w:type="dxa"/>
            </w:tcMar>
          </w:tcPr>
          <w:p>
            <w:pPr>
              <w:spacing w:after="40" w:before="20" w:line="245" w:lineRule="auto"/>
            </w:pPr>
            <w:r>
              <w:rPr>
                <w:sz w:val="18"/>
              </w:rPr>
              <w:t>78, sin error sintáctico</w:t>
            </w:r>
          </w:p>
        </w:tc>
      </w:tr>
      <w:tr>
        <w:trPr>
          <w:cantSplit/>
        </w:trPr>
        <w:tc>
          <w:tcPr>
            <w:tcW w:type="dxa" w:w="6520"/>
            <w:vAlign w:val="top"/>
            <w:tcMar>
              <w:top w:w="80" w:type="dxa"/>
              <w:left w:w="80" w:type="dxa"/>
              <w:bottom w:w="80" w:type="dxa"/>
              <w:right w:w="80" w:type="dxa"/>
            </w:tcMar>
          </w:tcPr>
          <w:p>
            <w:pPr>
              <w:spacing w:after="40" w:before="20" w:line="245" w:lineRule="auto"/>
            </w:pPr>
            <w:r>
              <w:rPr>
                <w:sz w:val="18"/>
              </w:rPr>
              <w:t>Cambios en el programa</w:t>
            </w:r>
          </w:p>
        </w:tc>
        <w:tc>
          <w:tcPr>
            <w:tcW w:type="dxa" w:w="3005"/>
            <w:vAlign w:val="top"/>
            <w:tcMar>
              <w:top w:w="80" w:type="dxa"/>
              <w:left w:w="80" w:type="dxa"/>
              <w:bottom w:w="80" w:type="dxa"/>
              <w:right w:w="80" w:type="dxa"/>
            </w:tcMar>
          </w:tcPr>
          <w:p>
            <w:pPr>
              <w:spacing w:after="40" w:before="20" w:line="245" w:lineRule="auto"/>
            </w:pPr>
            <w:r>
              <w:rPr>
                <w:sz w:val="18"/>
              </w:rPr>
              <w:t>0</w:t>
            </w:r>
          </w:p>
        </w:tc>
      </w:tr>
      <w:tr>
        <w:trPr>
          <w:cantSplit/>
        </w:trPr>
        <w:tc>
          <w:tcPr>
            <w:tcW w:type="dxa" w:w="6520"/>
            <w:vAlign w:val="top"/>
            <w:tcMar>
              <w:top w:w="80" w:type="dxa"/>
              <w:left w:w="80" w:type="dxa"/>
              <w:bottom w:w="80" w:type="dxa"/>
              <w:right w:w="80" w:type="dxa"/>
            </w:tcMar>
          </w:tcPr>
          <w:p>
            <w:pPr>
              <w:spacing w:after="40" w:before="20" w:line="245" w:lineRule="auto"/>
            </w:pPr>
            <w:r>
              <w:rPr>
                <w:sz w:val="18"/>
              </w:rPr>
              <w:t>Pruebas actuales de navegador, lector y Moodle</w:t>
            </w:r>
          </w:p>
        </w:tc>
        <w:tc>
          <w:tcPr>
            <w:tcW w:type="dxa" w:w="3005"/>
            <w:vAlign w:val="top"/>
            <w:tcMar>
              <w:top w:w="80" w:type="dxa"/>
              <w:left w:w="80" w:type="dxa"/>
              <w:bottom w:w="80" w:type="dxa"/>
              <w:right w:w="80" w:type="dxa"/>
            </w:tcMar>
          </w:tcPr>
          <w:p>
            <w:pPr>
              <w:spacing w:after="40" w:before="20" w:line="245" w:lineRule="auto"/>
            </w:pPr>
            <w:r>
              <w:rPr>
                <w:sz w:val="18"/>
              </w:rPr>
              <w:t>No ejecutadas</w:t>
            </w:r>
          </w:p>
        </w:tc>
      </w:tr>
    </w:tbl>
    <w:p>
      <w:pPr>
        <w:spacing w:after="40"/>
      </w:pPr>
    </w:p>
    <w:p>
      <w:pPr>
        <w:pStyle w:val="Heading2"/>
      </w:pPr>
      <w:r>
        <w:t>Cinco decisiones que condicionan la continuación</w:t>
      </w:r>
    </w:p>
    <w:p>
      <w:pPr>
        <w:pStyle w:val="ListBullet"/>
      </w:pPr>
      <w:r>
        <w:t>Conservar el catálogo A3 y la consulta ligera. La v9 es la última entrada con confirmación de funcionamiento recuperada, aunque falta vincular aquel ensayo a una huella de archivo.</w:t>
      </w:r>
    </w:p>
    <w:p>
      <w:pPr>
        <w:pStyle w:val="ListBullet"/>
      </w:pPr>
      <w:r>
        <w:t>Mantener v10, v11 y el Atlas directo R98 como candidatos con sus pruebas pendientes. El LEEME del piloto atribuye indebidamente a v11 una confirmación que su propio generador limita a v9.</w:t>
      </w:r>
    </w:p>
    <w:p>
      <w:pPr>
        <w:pStyle w:val="ListBullet"/>
      </w:pPr>
      <w:r>
        <w:t>Corregir el conflicto multimedia demostrado en el módulo 066 antes de usar ese módulo con el expediente visual de 47 recursos: descarta tres recursos de la propia ficha.</w:t>
      </w:r>
    </w:p>
    <w:p>
      <w:pPr>
        <w:pStyle w:val="ListBullet"/>
      </w:pPr>
      <w:r>
        <w:t>Conservar las cautelas científicas y completar su propagación a preguntas, gráficos, mapas y exportaciones. Los 50 contratos cronológicos revisados no certifican todas las afirmaciones de las 50 fichas.</w:t>
      </w:r>
    </w:p>
    <w:p>
      <w:pPr>
        <w:pStyle w:val="ListBullet"/>
      </w:pPr>
      <w:r>
        <w:t>Completar una prueba del destino sobre una versión fijada antes de producir más kits equivalentes o ampliar la interfaz.</w:t>
      </w:r>
    </w:p>
    <w:p>
      <w:r>
        <w:t>P0 indica prioridad inmediata para fijar la base y evitar una decisión de publicación errónea. P1 comprende correcciones y verificaciones sustantivas. P2 recoge ampliaciones posteriores. Estas prioridades son propuestas de esta revisión, no plazos ni aprobaciones institucionales. [E01, E05, E06, E09-E12]</w:t>
      </w:r>
    </w:p>
    <w:p>
      <w:r>
        <w:br w:type="page"/>
      </w:r>
    </w:p>
    <w:p>
      <w:pPr>
        <w:pStyle w:val="Heading1"/>
      </w:pPr>
      <w:r>
        <w:t>2. Alcance, cobertura y fuerza de las evidencias</w:t>
      </w:r>
    </w:p>
    <w:p>
      <w:r>
        <w:t>La reconstrucción cruza antecedentes conversacionales recuperables con archivos actuales y versiones históricas. No se ha obtenido una exportación íntegra de todos los chats, sus títulos o sus enlaces. Por ello el inventario identifica el corpus localizado, sin afirmar que agote todo lo elaborado en Paleobot.</w:t>
      </w:r>
    </w:p>
    <w:tbl>
      <w:tblPr>
        <w:tblW w:type="auto" w:w="0"/>
        <w:jc w:val="center"/>
        <w:tblLayout w:type="fixed"/>
        <w:tblLook w:firstColumn="1" w:firstRow="1" w:lastColumn="0" w:lastRow="0" w:noHBand="0" w:noVBand="1" w:val="04A0"/>
      </w:tblPr>
      <w:tblGrid>
        <w:gridCol w:w="1928"/>
        <w:gridCol w:w="3685"/>
        <w:gridCol w:w="3912"/>
      </w:tblGrid>
      <w:tr>
        <w:trPr>
          <w:tblHeader/>
          <w:cantSplit/>
        </w:trPr>
        <w:tc>
          <w:tcPr>
            <w:tcW w:type="dxa" w:w="1928"/>
            <w:shd w:fill="E7EFF0"/>
            <w:tcMar>
              <w:top w:w="80" w:type="dxa"/>
              <w:left w:w="80" w:type="dxa"/>
              <w:bottom w:w="80" w:type="dxa"/>
              <w:right w:w="80" w:type="dxa"/>
            </w:tcMar>
          </w:tcPr>
          <w:p>
            <w:pPr>
              <w:spacing w:after="40" w:before="20" w:line="245" w:lineRule="auto"/>
            </w:pPr>
            <w:r>
              <w:rPr>
                <w:b/>
                <w:color w:val="173E48"/>
                <w:sz w:val="18"/>
              </w:rPr>
              <w:t>Nivel</w:t>
            </w:r>
          </w:p>
        </w:tc>
        <w:tc>
          <w:tcPr>
            <w:tcW w:type="dxa" w:w="3685"/>
            <w:shd w:fill="E7EFF0"/>
            <w:tcMar>
              <w:top w:w="80" w:type="dxa"/>
              <w:left w:w="80" w:type="dxa"/>
              <w:bottom w:w="80" w:type="dxa"/>
              <w:right w:w="80" w:type="dxa"/>
            </w:tcMar>
          </w:tcPr>
          <w:p>
            <w:pPr>
              <w:spacing w:after="40" w:before="20" w:line="245" w:lineRule="auto"/>
            </w:pPr>
            <w:r>
              <w:rPr>
                <w:b/>
                <w:color w:val="173E48"/>
                <w:sz w:val="18"/>
              </w:rPr>
              <w:t>Qué permite sostener</w:t>
            </w:r>
          </w:p>
        </w:tc>
        <w:tc>
          <w:tcPr>
            <w:tcW w:type="dxa" w:w="3912"/>
            <w:shd w:fill="E7EFF0"/>
            <w:tcMar>
              <w:top w:w="80" w:type="dxa"/>
              <w:left w:w="80" w:type="dxa"/>
              <w:bottom w:w="80" w:type="dxa"/>
              <w:right w:w="80" w:type="dxa"/>
            </w:tcMar>
          </w:tcPr>
          <w:p>
            <w:pPr>
              <w:spacing w:after="40" w:before="20" w:line="245" w:lineRule="auto"/>
            </w:pPr>
            <w:r>
              <w:rPr>
                <w:b/>
                <w:color w:val="173E48"/>
                <w:sz w:val="18"/>
              </w:rPr>
              <w:t>Límite</w:t>
            </w:r>
          </w:p>
        </w:tc>
      </w:tr>
      <w:tr>
        <w:trPr>
          <w:cantSplit/>
        </w:trPr>
        <w:tc>
          <w:tcPr>
            <w:tcW w:type="dxa" w:w="1928"/>
            <w:vAlign w:val="top"/>
            <w:tcMar>
              <w:top w:w="80" w:type="dxa"/>
              <w:left w:w="80" w:type="dxa"/>
              <w:bottom w:w="80" w:type="dxa"/>
              <w:right w:w="80" w:type="dxa"/>
            </w:tcMar>
          </w:tcPr>
          <w:p>
            <w:pPr>
              <w:spacing w:after="40" w:before="20" w:line="245" w:lineRule="auto"/>
            </w:pPr>
            <w:r>
              <w:rPr>
                <w:sz w:val="18"/>
              </w:rPr>
              <w:t>Prueba nueva aislada</w:t>
            </w:r>
          </w:p>
        </w:tc>
        <w:tc>
          <w:tcPr>
            <w:tcW w:type="dxa" w:w="3685"/>
            <w:vAlign w:val="top"/>
            <w:tcMar>
              <w:top w:w="80" w:type="dxa"/>
              <w:left w:w="80" w:type="dxa"/>
              <w:bottom w:w="80" w:type="dxa"/>
              <w:right w:w="80" w:type="dxa"/>
            </w:tcMar>
          </w:tcPr>
          <w:p>
            <w:pPr>
              <w:spacing w:after="40" w:before="20" w:line="245" w:lineRule="auto"/>
            </w:pPr>
            <w:r>
              <w:rPr>
                <w:sz w:val="18"/>
              </w:rPr>
              <w:t>Comportamiento del módulo 066 con entradas conocidas</w:t>
            </w:r>
          </w:p>
        </w:tc>
        <w:tc>
          <w:tcPr>
            <w:tcW w:type="dxa" w:w="3912"/>
            <w:vAlign w:val="top"/>
            <w:tcMar>
              <w:top w:w="80" w:type="dxa"/>
              <w:left w:w="80" w:type="dxa"/>
              <w:bottom w:w="80" w:type="dxa"/>
              <w:right w:w="80" w:type="dxa"/>
            </w:tcMar>
          </w:tcPr>
          <w:p>
            <w:pPr>
              <w:spacing w:after="40" w:before="20" w:line="245" w:lineRule="auto"/>
            </w:pPr>
            <w:r>
              <w:rPr>
                <w:sz w:val="18"/>
              </w:rPr>
              <w:t>DOM simulado; no aplicación completa ni Moodle</w:t>
            </w:r>
          </w:p>
        </w:tc>
      </w:tr>
      <w:tr>
        <w:trPr>
          <w:cantSplit/>
        </w:trPr>
        <w:tc>
          <w:tcPr>
            <w:tcW w:type="dxa" w:w="1928"/>
            <w:vAlign w:val="top"/>
            <w:tcMar>
              <w:top w:w="80" w:type="dxa"/>
              <w:left w:w="80" w:type="dxa"/>
              <w:bottom w:w="80" w:type="dxa"/>
              <w:right w:w="80" w:type="dxa"/>
            </w:tcMar>
          </w:tcPr>
          <w:p>
            <w:pPr>
              <w:spacing w:after="40" w:before="20" w:line="245" w:lineRule="auto"/>
            </w:pPr>
            <w:r>
              <w:rPr>
                <w:sz w:val="18"/>
              </w:rPr>
              <w:t>Cotejo actual de archivos</w:t>
            </w:r>
          </w:p>
        </w:tc>
        <w:tc>
          <w:tcPr>
            <w:tcW w:type="dxa" w:w="3685"/>
            <w:vAlign w:val="top"/>
            <w:tcMar>
              <w:top w:w="80" w:type="dxa"/>
              <w:left w:w="80" w:type="dxa"/>
              <w:bottom w:w="80" w:type="dxa"/>
              <w:right w:w="80" w:type="dxa"/>
            </w:tcMar>
          </w:tcPr>
          <w:p>
            <w:pPr>
              <w:spacing w:after="40" w:before="20" w:line="245" w:lineRule="auto"/>
            </w:pPr>
            <w:r>
              <w:rPr>
                <w:sz w:val="18"/>
              </w:rPr>
              <w:t>Identidad, diferencias de datos, sintaxis e integridad</w:t>
            </w:r>
          </w:p>
        </w:tc>
        <w:tc>
          <w:tcPr>
            <w:tcW w:type="dxa" w:w="3912"/>
            <w:vAlign w:val="top"/>
            <w:tcMar>
              <w:top w:w="80" w:type="dxa"/>
              <w:left w:w="80" w:type="dxa"/>
              <w:bottom w:w="80" w:type="dxa"/>
              <w:right w:w="80" w:type="dxa"/>
            </w:tcMar>
          </w:tcPr>
          <w:p>
            <w:pPr>
              <w:spacing w:after="40" w:before="20" w:line="245" w:lineRule="auto"/>
            </w:pPr>
            <w:r>
              <w:rPr>
                <w:sz w:val="18"/>
              </w:rPr>
              <w:t>No acredita exactitud científica ni interacción</w:t>
            </w:r>
          </w:p>
        </w:tc>
      </w:tr>
      <w:tr>
        <w:trPr>
          <w:cantSplit/>
        </w:trPr>
        <w:tc>
          <w:tcPr>
            <w:tcW w:type="dxa" w:w="1928"/>
            <w:vAlign w:val="top"/>
            <w:tcMar>
              <w:top w:w="80" w:type="dxa"/>
              <w:left w:w="80" w:type="dxa"/>
              <w:bottom w:w="80" w:type="dxa"/>
              <w:right w:w="80" w:type="dxa"/>
            </w:tcMar>
          </w:tcPr>
          <w:p>
            <w:pPr>
              <w:spacing w:after="40" w:before="20" w:line="245" w:lineRule="auto"/>
            </w:pPr>
            <w:r>
              <w:rPr>
                <w:sz w:val="18"/>
              </w:rPr>
              <w:t>Informe o resultado histórico</w:t>
            </w:r>
          </w:p>
        </w:tc>
        <w:tc>
          <w:tcPr>
            <w:tcW w:type="dxa" w:w="3685"/>
            <w:vAlign w:val="top"/>
            <w:tcMar>
              <w:top w:w="80" w:type="dxa"/>
              <w:left w:w="80" w:type="dxa"/>
              <w:bottom w:w="80" w:type="dxa"/>
              <w:right w:w="80" w:type="dxa"/>
            </w:tcMar>
          </w:tcPr>
          <w:p>
            <w:pPr>
              <w:spacing w:after="40" w:before="20" w:line="245" w:lineRule="auto"/>
            </w:pPr>
            <w:r>
              <w:rPr>
                <w:sz w:val="18"/>
              </w:rPr>
              <w:t>Qué se cambió y qué comprobación quedó registrada</w:t>
            </w:r>
          </w:p>
        </w:tc>
        <w:tc>
          <w:tcPr>
            <w:tcW w:type="dxa" w:w="3912"/>
            <w:vAlign w:val="top"/>
            <w:tcMar>
              <w:top w:w="80" w:type="dxa"/>
              <w:left w:w="80" w:type="dxa"/>
              <w:bottom w:w="80" w:type="dxa"/>
              <w:right w:w="80" w:type="dxa"/>
            </w:tcMar>
          </w:tcPr>
          <w:p>
            <w:pPr>
              <w:spacing w:after="40" w:before="20" w:line="245" w:lineRule="auto"/>
            </w:pPr>
            <w:r>
              <w:rPr>
                <w:sz w:val="18"/>
              </w:rPr>
              <w:t>No se presenta como prueba reejecutada ahora</w:t>
            </w:r>
          </w:p>
        </w:tc>
      </w:tr>
      <w:tr>
        <w:trPr>
          <w:cantSplit/>
        </w:trPr>
        <w:tc>
          <w:tcPr>
            <w:tcW w:type="dxa" w:w="1928"/>
            <w:vAlign w:val="top"/>
            <w:tcMar>
              <w:top w:w="80" w:type="dxa"/>
              <w:left w:w="80" w:type="dxa"/>
              <w:bottom w:w="80" w:type="dxa"/>
              <w:right w:w="80" w:type="dxa"/>
            </w:tcMar>
          </w:tcPr>
          <w:p>
            <w:pPr>
              <w:spacing w:after="40" w:before="20" w:line="245" w:lineRule="auto"/>
            </w:pPr>
            <w:r>
              <w:rPr>
                <w:sz w:val="18"/>
              </w:rPr>
              <w:t>Antecedente conversacional recuperado</w:t>
            </w:r>
          </w:p>
        </w:tc>
        <w:tc>
          <w:tcPr>
            <w:tcW w:type="dxa" w:w="3685"/>
            <w:vAlign w:val="top"/>
            <w:tcMar>
              <w:top w:w="80" w:type="dxa"/>
              <w:left w:w="80" w:type="dxa"/>
              <w:bottom w:w="80" w:type="dxa"/>
              <w:right w:w="80" w:type="dxa"/>
            </w:tcMar>
          </w:tcPr>
          <w:p>
            <w:pPr>
              <w:spacing w:after="40" w:before="20" w:line="245" w:lineRule="auto"/>
            </w:pPr>
            <w:r>
              <w:rPr>
                <w:sz w:val="18"/>
              </w:rPr>
              <w:t>Preferencias, fallos comunicados y confirmaciones resumidas</w:t>
            </w:r>
          </w:p>
        </w:tc>
        <w:tc>
          <w:tcPr>
            <w:tcW w:type="dxa" w:w="3912"/>
            <w:vAlign w:val="top"/>
            <w:tcMar>
              <w:top w:w="80" w:type="dxa"/>
              <w:left w:w="80" w:type="dxa"/>
              <w:bottom w:w="80" w:type="dxa"/>
              <w:right w:w="80" w:type="dxa"/>
            </w:tcMar>
          </w:tcPr>
          <w:p>
            <w:pPr>
              <w:spacing w:after="40" w:before="20" w:line="245" w:lineRule="auto"/>
            </w:pPr>
            <w:r>
              <w:rPr>
                <w:sz w:val="18"/>
              </w:rPr>
              <w:t>No equivale a una transcripción completa</w:t>
            </w:r>
          </w:p>
        </w:tc>
      </w:tr>
      <w:tr>
        <w:trPr>
          <w:cantSplit/>
        </w:trPr>
        <w:tc>
          <w:tcPr>
            <w:tcW w:type="dxa" w:w="1928"/>
            <w:vAlign w:val="top"/>
            <w:tcMar>
              <w:top w:w="80" w:type="dxa"/>
              <w:left w:w="80" w:type="dxa"/>
              <w:bottom w:w="80" w:type="dxa"/>
              <w:right w:w="80" w:type="dxa"/>
            </w:tcMar>
          </w:tcPr>
          <w:p>
            <w:pPr>
              <w:spacing w:after="40" w:before="20" w:line="245" w:lineRule="auto"/>
            </w:pPr>
            <w:r>
              <w:rPr>
                <w:sz w:val="18"/>
              </w:rPr>
              <w:t>Propuesta de esta revisión</w:t>
            </w:r>
          </w:p>
        </w:tc>
        <w:tc>
          <w:tcPr>
            <w:tcW w:type="dxa" w:w="3685"/>
            <w:vAlign w:val="top"/>
            <w:tcMar>
              <w:top w:w="80" w:type="dxa"/>
              <w:left w:w="80" w:type="dxa"/>
              <w:bottom w:w="80" w:type="dxa"/>
              <w:right w:w="80" w:type="dxa"/>
            </w:tcMar>
          </w:tcPr>
          <w:p>
            <w:pPr>
              <w:spacing w:after="40" w:before="20" w:line="245" w:lineRule="auto"/>
            </w:pPr>
            <w:r>
              <w:rPr>
                <w:sz w:val="18"/>
              </w:rPr>
              <w:t>Una intervención con motivo y criterio de cierre</w:t>
            </w:r>
          </w:p>
        </w:tc>
        <w:tc>
          <w:tcPr>
            <w:tcW w:type="dxa" w:w="3912"/>
            <w:vAlign w:val="top"/>
            <w:tcMar>
              <w:top w:w="80" w:type="dxa"/>
              <w:left w:w="80" w:type="dxa"/>
              <w:bottom w:w="80" w:type="dxa"/>
              <w:right w:w="80" w:type="dxa"/>
            </w:tcMar>
          </w:tcPr>
          <w:p>
            <w:pPr>
              <w:spacing w:after="40" w:before="20" w:line="245" w:lineRule="auto"/>
            </w:pPr>
            <w:r>
              <w:rPr>
                <w:sz w:val="18"/>
              </w:rPr>
              <w:t>No está implantada en el programa</w:t>
            </w:r>
          </w:p>
        </w:tc>
      </w:tr>
    </w:tbl>
    <w:p>
      <w:pPr>
        <w:spacing w:after="40"/>
      </w:pPr>
    </w:p>
    <w:p>
      <w:pPr>
        <w:pStyle w:val="Heading2"/>
      </w:pPr>
      <w:r>
        <w:t>Cobertura efectivamente realizada</w:t>
      </w:r>
    </w:p>
    <w:p>
      <w:pPr>
        <w:pStyle w:val="ListBullet"/>
      </w:pPr>
      <w:r>
        <w:t>Inventario de 272 identidades de archivo. Se recuperaron 115 y se verificaron 36 ZIP de la selección. Los 157 restantes se mantienen como metadatos, sin atribuirles una revisión de contenido.</w:t>
      </w:r>
    </w:p>
    <w:p>
      <w:pPr>
        <w:pStyle w:val="ListBullet"/>
      </w:pPr>
      <w:r>
        <w:t>Lectura focal de informes R12, R15, R38, R48, R49, R57, R64, R89 y R93; reconciliaciones A1/A2; cierres A3 C4-C6 e Immersive; auditorías de las fases 1-7 y documentos v11/R98.</w:t>
      </w:r>
    </w:p>
    <w:p>
      <w:pPr>
        <w:pStyle w:val="ListBullet"/>
      </w:pPr>
      <w:r>
        <w:t>Lectura de los generadores de v11 y del piloto, la interacción de v11 y los módulos de medios 025, 033 y 066. Comparación automática de árboles fase 7/R98 y de los tres catálogos seleccionados.</w:t>
      </w:r>
    </w:p>
    <w:p>
      <w:pPr>
        <w:pStyle w:val="ListBullet"/>
      </w:pPr>
      <w:r>
        <w:t>Cotejo de DB y catálogo en C6.3.5, fase 7 y R98 mediante lectura de literales sin eval. La representación del campo mapa quedó excluida de la comparación de igualdad y se declara por separado.</w:t>
      </w:r>
    </w:p>
    <w:p>
      <w:r>
        <w:t>Quedan fuera de una validación integral: el código completo, las 50 descripciones científicas, toda la bibliografía, cada coordenada, las 47 imágenes frente a sus fuentes originales, las salidas SVG y la experiencia con alumnado. El expediente contiene 78 copias de documentos históricos de soporte; conservarlas no significa haber repetido todas sus pruebas. [E03-E12]</w:t>
      </w:r>
    </w:p>
    <w:p>
      <w:r>
        <w:br w:type="page"/>
      </w:r>
    </w:p>
    <w:p>
      <w:pPr>
        <w:pStyle w:val="Heading1"/>
      </w:pPr>
      <w:r>
        <w:t>3. Historia reconstruida del proyecto</w:t>
      </w:r>
    </w:p>
    <w:tbl>
      <w:tblPr>
        <w:tblW w:type="auto" w:w="0"/>
        <w:jc w:val="center"/>
        <w:tblLayout w:type="fixed"/>
        <w:tblLook w:firstColumn="1" w:firstRow="1" w:lastColumn="0" w:lastRow="0" w:noHBand="0" w:noVBand="1" w:val="04A0"/>
      </w:tblPr>
      <w:tblGrid>
        <w:gridCol w:w="1701"/>
        <w:gridCol w:w="3969"/>
        <w:gridCol w:w="3855"/>
      </w:tblGrid>
      <w:tr>
        <w:trPr>
          <w:tblHeader/>
          <w:cantSplit/>
        </w:trPr>
        <w:tc>
          <w:tcPr>
            <w:tcW w:type="dxa" w:w="1701"/>
            <w:shd w:fill="E7EFF0"/>
            <w:tcMar>
              <w:top w:w="80" w:type="dxa"/>
              <w:left w:w="80" w:type="dxa"/>
              <w:bottom w:w="80" w:type="dxa"/>
              <w:right w:w="80" w:type="dxa"/>
            </w:tcMar>
          </w:tcPr>
          <w:p>
            <w:pPr>
              <w:spacing w:after="40" w:before="20" w:line="245" w:lineRule="auto"/>
            </w:pPr>
            <w:r>
              <w:rPr>
                <w:b/>
                <w:color w:val="173E48"/>
                <w:sz w:val="18"/>
              </w:rPr>
              <w:t>Periodo</w:t>
            </w:r>
          </w:p>
        </w:tc>
        <w:tc>
          <w:tcPr>
            <w:tcW w:type="dxa" w:w="3969"/>
            <w:shd w:fill="E7EFF0"/>
            <w:tcMar>
              <w:top w:w="80" w:type="dxa"/>
              <w:left w:w="80" w:type="dxa"/>
              <w:bottom w:w="80" w:type="dxa"/>
              <w:right w:w="80" w:type="dxa"/>
            </w:tcMar>
          </w:tcPr>
          <w:p>
            <w:pPr>
              <w:spacing w:after="40" w:before="20" w:line="245" w:lineRule="auto"/>
            </w:pPr>
            <w:r>
              <w:rPr>
                <w:b/>
                <w:color w:val="173E48"/>
                <w:sz w:val="18"/>
              </w:rPr>
              <w:t>Trabajo recuperado</w:t>
            </w:r>
          </w:p>
        </w:tc>
        <w:tc>
          <w:tcPr>
            <w:tcW w:type="dxa" w:w="3855"/>
            <w:shd w:fill="E7EFF0"/>
            <w:tcMar>
              <w:top w:w="80" w:type="dxa"/>
              <w:left w:w="80" w:type="dxa"/>
              <w:bottom w:w="80" w:type="dxa"/>
              <w:right w:w="80" w:type="dxa"/>
            </w:tcMar>
          </w:tcPr>
          <w:p>
            <w:pPr>
              <w:spacing w:after="40" w:before="20" w:line="245" w:lineRule="auto"/>
            </w:pPr>
            <w:r>
              <w:rPr>
                <w:b/>
                <w:color w:val="173E48"/>
                <w:sz w:val="18"/>
              </w:rPr>
              <w:t>Estado que debe conservarse</w:t>
            </w:r>
          </w:p>
        </w:tc>
      </w:tr>
      <w:tr>
        <w:trPr>
          <w:cantSplit/>
        </w:trPr>
        <w:tc>
          <w:tcPr>
            <w:tcW w:type="dxa" w:w="1701"/>
            <w:vAlign w:val="top"/>
            <w:tcMar>
              <w:top w:w="80" w:type="dxa"/>
              <w:left w:w="80" w:type="dxa"/>
              <w:bottom w:w="80" w:type="dxa"/>
              <w:right w:w="80" w:type="dxa"/>
            </w:tcMar>
          </w:tcPr>
          <w:p>
            <w:pPr>
              <w:spacing w:after="40" w:before="20" w:line="245" w:lineRule="auto"/>
            </w:pPr>
            <w:r>
              <w:rPr>
                <w:sz w:val="18"/>
              </w:rPr>
              <w:t>Abril-junio de 2025</w:t>
            </w:r>
          </w:p>
        </w:tc>
        <w:tc>
          <w:tcPr>
            <w:tcW w:type="dxa" w:w="3969"/>
            <w:vAlign w:val="top"/>
            <w:tcMar>
              <w:top w:w="80" w:type="dxa"/>
              <w:left w:w="80" w:type="dxa"/>
              <w:bottom w:w="80" w:type="dxa"/>
              <w:right w:w="80" w:type="dxa"/>
            </w:tcMar>
          </w:tcPr>
          <w:p>
            <w:pPr>
              <w:spacing w:after="40" w:before="20" w:line="245" w:lineRule="auto"/>
            </w:pPr>
            <w:r>
              <w:rPr>
                <w:sz w:val="18"/>
              </w:rPr>
              <w:t>PaleoBot de la Abuelita en Landbot; expansión HTML/JS con Lucy, habilis y boisei; propuesta SCORM</w:t>
            </w:r>
          </w:p>
        </w:tc>
        <w:tc>
          <w:tcPr>
            <w:tcW w:type="dxa" w:w="3855"/>
            <w:vAlign w:val="top"/>
            <w:tcMar>
              <w:top w:w="80" w:type="dxa"/>
              <w:left w:w="80" w:type="dxa"/>
              <w:bottom w:w="80" w:type="dxa"/>
              <w:right w:w="80" w:type="dxa"/>
            </w:tcMar>
          </w:tcPr>
          <w:p>
            <w:pPr>
              <w:spacing w:after="40" w:before="20" w:line="245" w:lineRule="auto"/>
            </w:pPr>
            <w:r>
              <w:rPr>
                <w:sz w:val="18"/>
              </w:rPr>
              <w:t>Antecedentes conversacionales. El SCORM de junio fue propuesta/manual, sin empaquetado ejecutado acreditado.</w:t>
            </w:r>
          </w:p>
        </w:tc>
      </w:tr>
      <w:tr>
        <w:trPr>
          <w:cantSplit/>
        </w:trPr>
        <w:tc>
          <w:tcPr>
            <w:tcW w:type="dxa" w:w="1701"/>
            <w:vAlign w:val="top"/>
            <w:tcMar>
              <w:top w:w="80" w:type="dxa"/>
              <w:left w:w="80" w:type="dxa"/>
              <w:bottom w:w="80" w:type="dxa"/>
              <w:right w:w="80" w:type="dxa"/>
            </w:tcMar>
          </w:tcPr>
          <w:p>
            <w:pPr>
              <w:spacing w:after="40" w:before="20" w:line="245" w:lineRule="auto"/>
            </w:pPr>
            <w:r>
              <w:rPr>
                <w:sz w:val="18"/>
              </w:rPr>
              <w:t>Mayo-julio de 2026</w:t>
            </w:r>
          </w:p>
        </w:tc>
        <w:tc>
          <w:tcPr>
            <w:tcW w:type="dxa" w:w="3969"/>
            <w:vAlign w:val="top"/>
            <w:tcMar>
              <w:top w:w="80" w:type="dxa"/>
              <w:left w:w="80" w:type="dxa"/>
              <w:bottom w:w="80" w:type="dxa"/>
              <w:right w:w="80" w:type="dxa"/>
            </w:tcMar>
          </w:tcPr>
          <w:p>
            <w:pPr>
              <w:spacing w:after="40" w:before="20" w:line="245" w:lineRule="auto"/>
            </w:pPr>
            <w:r>
              <w:rPr>
                <w:sz w:val="18"/>
              </w:rPr>
              <w:t>paleobot_v56.html y v56.3/PaleoLab50</w:t>
            </w:r>
          </w:p>
        </w:tc>
        <w:tc>
          <w:tcPr>
            <w:tcW w:type="dxa" w:w="3855"/>
            <w:vAlign w:val="top"/>
            <w:tcMar>
              <w:top w:w="80" w:type="dxa"/>
              <w:left w:w="80" w:type="dxa"/>
              <w:bottom w:w="80" w:type="dxa"/>
              <w:right w:w="80" w:type="dxa"/>
            </w:tcMar>
          </w:tcPr>
          <w:p>
            <w:pPr>
              <w:spacing w:after="40" w:before="20" w:line="245" w:lineRule="auto"/>
            </w:pPr>
            <w:r>
              <w:rPr>
                <w:sz w:val="18"/>
              </w:rPr>
              <w:t>Aplicación extensa y múltiples herramientas. La amplitud anunciada no equivale a funcionamiento completo acreditado.</w:t>
            </w:r>
          </w:p>
        </w:tc>
      </w:tr>
      <w:tr>
        <w:trPr>
          <w:cantSplit/>
        </w:trPr>
        <w:tc>
          <w:tcPr>
            <w:tcW w:type="dxa" w:w="1701"/>
            <w:vAlign w:val="top"/>
            <w:tcMar>
              <w:top w:w="80" w:type="dxa"/>
              <w:left w:w="80" w:type="dxa"/>
              <w:bottom w:w="80" w:type="dxa"/>
              <w:right w:w="80" w:type="dxa"/>
            </w:tcMar>
          </w:tcPr>
          <w:p>
            <w:pPr>
              <w:spacing w:after="40" w:before="20" w:line="245" w:lineRule="auto"/>
            </w:pPr>
            <w:r>
              <w:rPr>
                <w:sz w:val="18"/>
              </w:rPr>
              <w:t>5-6 de septiembre</w:t>
            </w:r>
          </w:p>
        </w:tc>
        <w:tc>
          <w:tcPr>
            <w:tcW w:type="dxa" w:w="3969"/>
            <w:vAlign w:val="top"/>
            <w:tcMar>
              <w:top w:w="80" w:type="dxa"/>
              <w:left w:w="80" w:type="dxa"/>
              <w:bottom w:w="80" w:type="dxa"/>
              <w:right w:w="80" w:type="dxa"/>
            </w:tcMar>
          </w:tcPr>
          <w:p>
            <w:pPr>
              <w:spacing w:after="40" w:before="20" w:line="245" w:lineRule="auto"/>
            </w:pPr>
            <w:r>
              <w:rPr>
                <w:sz w:val="18"/>
              </w:rPr>
              <w:t>v69 y recuperación R1-R93: API canónica, retirada de interferencias, rutas, almacenamiento, dependencias y CSP</w:t>
            </w:r>
          </w:p>
        </w:tc>
        <w:tc>
          <w:tcPr>
            <w:tcW w:type="dxa" w:w="3855"/>
            <w:vAlign w:val="top"/>
            <w:tcMar>
              <w:top w:w="80" w:type="dxa"/>
              <w:left w:w="80" w:type="dxa"/>
              <w:bottom w:w="80" w:type="dxa"/>
              <w:right w:w="80" w:type="dxa"/>
            </w:tcMar>
          </w:tcPr>
          <w:p>
            <w:pPr>
              <w:spacing w:after="40" w:before="20" w:line="245" w:lineRule="auto"/>
            </w:pPr>
            <w:r>
              <w:rPr>
                <w:sz w:val="18"/>
              </w:rPr>
              <w:t>Pruebas estáticas/contractuales; R93 esperaba ejecución auténtica del destino.</w:t>
            </w:r>
          </w:p>
        </w:tc>
      </w:tr>
      <w:tr>
        <w:trPr>
          <w:cantSplit/>
        </w:trPr>
        <w:tc>
          <w:tcPr>
            <w:tcW w:type="dxa" w:w="1701"/>
            <w:vAlign w:val="top"/>
            <w:tcMar>
              <w:top w:w="80" w:type="dxa"/>
              <w:left w:w="80" w:type="dxa"/>
              <w:bottom w:w="80" w:type="dxa"/>
              <w:right w:w="80" w:type="dxa"/>
            </w:tcMar>
          </w:tcPr>
          <w:p>
            <w:pPr>
              <w:spacing w:after="40" w:before="20" w:line="245" w:lineRule="auto"/>
            </w:pPr>
            <w:r>
              <w:rPr>
                <w:sz w:val="18"/>
              </w:rPr>
              <w:t>7-11 de septiembre</w:t>
            </w:r>
          </w:p>
        </w:tc>
        <w:tc>
          <w:tcPr>
            <w:tcW w:type="dxa" w:w="3969"/>
            <w:vAlign w:val="top"/>
            <w:tcMar>
              <w:top w:w="80" w:type="dxa"/>
              <w:left w:w="80" w:type="dxa"/>
              <w:bottom w:w="80" w:type="dxa"/>
              <w:right w:w="80" w:type="dxa"/>
            </w:tcMar>
          </w:tcPr>
          <w:p>
            <w:pPr>
              <w:spacing w:after="40" w:before="20" w:line="245" w:lineRule="auto"/>
            </w:pPr>
            <w:r>
              <w:rPr>
                <w:sz w:val="18"/>
              </w:rPr>
              <w:t>Atlas v1, A1/A2 y A3 C1-C6.4.2: cronología tipada, consumidores y puertas externas</w:t>
            </w:r>
          </w:p>
        </w:tc>
        <w:tc>
          <w:tcPr>
            <w:tcW w:type="dxa" w:w="3855"/>
            <w:vAlign w:val="top"/>
            <w:tcMar>
              <w:top w:w="80" w:type="dxa"/>
              <w:left w:w="80" w:type="dxa"/>
              <w:bottom w:w="80" w:type="dxa"/>
              <w:right w:w="80" w:type="dxa"/>
            </w:tcMar>
          </w:tcPr>
          <w:p>
            <w:pPr>
              <w:spacing w:after="40" w:before="20" w:line="245" w:lineRule="auto"/>
            </w:pPr>
            <w:r>
              <w:rPr>
                <w:sz w:val="18"/>
              </w:rPr>
              <w:t>R05 terminó 50/50 contratos; A3 mantuvo NO_GO y cero retornos auténticos.</w:t>
            </w:r>
          </w:p>
        </w:tc>
      </w:tr>
      <w:tr>
        <w:trPr>
          <w:cantSplit/>
        </w:trPr>
        <w:tc>
          <w:tcPr>
            <w:tcW w:type="dxa" w:w="1701"/>
            <w:vAlign w:val="top"/>
            <w:tcMar>
              <w:top w:w="80" w:type="dxa"/>
              <w:left w:w="80" w:type="dxa"/>
              <w:bottom w:w="80" w:type="dxa"/>
              <w:right w:w="80" w:type="dxa"/>
            </w:tcMar>
          </w:tcPr>
          <w:p>
            <w:pPr>
              <w:spacing w:after="40" w:before="20" w:line="245" w:lineRule="auto"/>
            </w:pPr>
            <w:r>
              <w:rPr>
                <w:sz w:val="18"/>
              </w:rPr>
              <w:t>20-21 de septiembre</w:t>
            </w:r>
          </w:p>
        </w:tc>
        <w:tc>
          <w:tcPr>
            <w:tcW w:type="dxa" w:w="3969"/>
            <w:vAlign w:val="top"/>
            <w:tcMar>
              <w:top w:w="80" w:type="dxa"/>
              <w:left w:w="80" w:type="dxa"/>
              <w:bottom w:w="80" w:type="dxa"/>
              <w:right w:w="80" w:type="dxa"/>
            </w:tcMar>
          </w:tcPr>
          <w:p>
            <w:pPr>
              <w:spacing w:after="40" w:before="20" w:line="245" w:lineRule="auto"/>
            </w:pPr>
            <w:r>
              <w:rPr>
                <w:sz w:val="18"/>
              </w:rPr>
              <w:t>Immersive P0-P9.1 y Lite/Balanced v3-v7</w:t>
            </w:r>
          </w:p>
        </w:tc>
        <w:tc>
          <w:tcPr>
            <w:tcW w:type="dxa" w:w="3855"/>
            <w:vAlign w:val="top"/>
            <w:tcMar>
              <w:top w:w="80" w:type="dxa"/>
              <w:left w:w="80" w:type="dxa"/>
              <w:bottom w:w="80" w:type="dxa"/>
              <w:right w:w="80" w:type="dxa"/>
            </w:tcMar>
          </w:tcPr>
          <w:p>
            <w:pPr>
              <w:spacing w:after="40" w:before="20" w:line="245" w:lineRule="auto"/>
            </w:pPr>
            <w:r>
              <w:rPr>
                <w:sz w:val="18"/>
              </w:rPr>
              <w:t>Prototipos y enriquecimiento progresivo; sin activos científicos aprobados ni cierre de las puertas externas.</w:t>
            </w:r>
          </w:p>
        </w:tc>
      </w:tr>
      <w:tr>
        <w:trPr>
          <w:cantSplit/>
        </w:trPr>
        <w:tc>
          <w:tcPr>
            <w:tcW w:type="dxa" w:w="1701"/>
            <w:vAlign w:val="top"/>
            <w:tcMar>
              <w:top w:w="80" w:type="dxa"/>
              <w:left w:w="80" w:type="dxa"/>
              <w:bottom w:w="80" w:type="dxa"/>
              <w:right w:w="80" w:type="dxa"/>
            </w:tcMar>
          </w:tcPr>
          <w:p>
            <w:pPr>
              <w:spacing w:after="40" w:before="20" w:line="245" w:lineRule="auto"/>
            </w:pPr>
            <w:r>
              <w:rPr>
                <w:sz w:val="18"/>
              </w:rPr>
              <w:t>22-23 de septiembre</w:t>
            </w:r>
          </w:p>
        </w:tc>
        <w:tc>
          <w:tcPr>
            <w:tcW w:type="dxa" w:w="3969"/>
            <w:vAlign w:val="top"/>
            <w:tcMar>
              <w:top w:w="80" w:type="dxa"/>
              <w:left w:w="80" w:type="dxa"/>
              <w:bottom w:w="80" w:type="dxa"/>
              <w:right w:w="80" w:type="dxa"/>
            </w:tcMar>
          </w:tcPr>
          <w:p>
            <w:pPr>
              <w:spacing w:after="40" w:before="20" w:line="245" w:lineRule="auto"/>
            </w:pPr>
            <w:r>
              <w:rPr>
                <w:sz w:val="18"/>
              </w:rPr>
              <w:t>Fases 1-7b: medios, mapas, etiquetas, bibliografía, datos y cargador; versiones Moodle/Fix</w:t>
            </w:r>
          </w:p>
        </w:tc>
        <w:tc>
          <w:tcPr>
            <w:tcW w:type="dxa" w:w="3855"/>
            <w:vAlign w:val="top"/>
            <w:tcMar>
              <w:top w:w="80" w:type="dxa"/>
              <w:left w:w="80" w:type="dxa"/>
              <w:bottom w:w="80" w:type="dxa"/>
              <w:right w:w="80" w:type="dxa"/>
            </w:tcMar>
          </w:tcPr>
          <w:p>
            <w:pPr>
              <w:spacing w:after="40" w:before="20" w:line="245" w:lineRule="auto"/>
            </w:pPr>
            <w:r>
              <w:rPr>
                <w:sz w:val="18"/>
              </w:rPr>
              <w:t>Correcciones locales documentadas; se comunicaron fallos de botones y carga en las entregas complejas.</w:t>
            </w:r>
          </w:p>
        </w:tc>
      </w:tr>
      <w:tr>
        <w:trPr>
          <w:cantSplit/>
        </w:trPr>
        <w:tc>
          <w:tcPr>
            <w:tcW w:type="dxa" w:w="1701"/>
            <w:vAlign w:val="top"/>
            <w:tcMar>
              <w:top w:w="80" w:type="dxa"/>
              <w:left w:w="80" w:type="dxa"/>
              <w:bottom w:w="80" w:type="dxa"/>
              <w:right w:w="80" w:type="dxa"/>
            </w:tcMar>
          </w:tcPr>
          <w:p>
            <w:pPr>
              <w:spacing w:after="40" w:before="20" w:line="245" w:lineRule="auto"/>
            </w:pPr>
            <w:r>
              <w:rPr>
                <w:sz w:val="18"/>
              </w:rPr>
              <w:t>23-24 de septiembre</w:t>
            </w:r>
          </w:p>
        </w:tc>
        <w:tc>
          <w:tcPr>
            <w:tcW w:type="dxa" w:w="3969"/>
            <w:vAlign w:val="top"/>
            <w:tcMar>
              <w:top w:w="80" w:type="dxa"/>
              <w:left w:w="80" w:type="dxa"/>
              <w:bottom w:w="80" w:type="dxa"/>
              <w:right w:w="80" w:type="dxa"/>
            </w:tcMar>
          </w:tcPr>
          <w:p>
            <w:pPr>
              <w:spacing w:after="40" w:before="20" w:line="245" w:lineRule="auto"/>
            </w:pPr>
            <w:r>
              <w:rPr>
                <w:sz w:val="18"/>
              </w:rPr>
              <w:t>Entrada ligera/directa v1-v10</w:t>
            </w:r>
          </w:p>
        </w:tc>
        <w:tc>
          <w:tcPr>
            <w:tcW w:type="dxa" w:w="3855"/>
            <w:vAlign w:val="top"/>
            <w:tcMar>
              <w:top w:w="80" w:type="dxa"/>
              <w:left w:w="80" w:type="dxa"/>
              <w:bottom w:w="80" w:type="dxa"/>
              <w:right w:w="80" w:type="dxa"/>
            </w:tcMar>
          </w:tcPr>
          <w:p>
            <w:pPr>
              <w:spacing w:after="40" w:before="20" w:line="245" w:lineRule="auto"/>
            </w:pPr>
            <w:r>
              <w:rPr>
                <w:sz w:val="18"/>
              </w:rPr>
              <w:t>Confirmación recuperada de funcionamiento hasta v9. v10 amplía recursos visuales, sin confirmación equivalente localizada.</w:t>
            </w:r>
          </w:p>
        </w:tc>
      </w:tr>
      <w:tr>
        <w:trPr>
          <w:cantSplit/>
        </w:trPr>
        <w:tc>
          <w:tcPr>
            <w:tcW w:type="dxa" w:w="1701"/>
            <w:vAlign w:val="top"/>
            <w:tcMar>
              <w:top w:w="80" w:type="dxa"/>
              <w:left w:w="80" w:type="dxa"/>
              <w:bottom w:w="80" w:type="dxa"/>
              <w:right w:w="80" w:type="dxa"/>
            </w:tcMar>
          </w:tcPr>
          <w:p>
            <w:pPr>
              <w:spacing w:after="40" w:before="20" w:line="245" w:lineRule="auto"/>
            </w:pPr>
            <w:r>
              <w:rPr>
                <w:sz w:val="18"/>
              </w:rPr>
              <w:t>28 de septiembre</w:t>
            </w:r>
          </w:p>
        </w:tc>
        <w:tc>
          <w:tcPr>
            <w:tcW w:type="dxa" w:w="3969"/>
            <w:vAlign w:val="top"/>
            <w:tcMar>
              <w:top w:w="80" w:type="dxa"/>
              <w:left w:w="80" w:type="dxa"/>
              <w:bottom w:w="80" w:type="dxa"/>
              <w:right w:w="80" w:type="dxa"/>
            </w:tcMar>
          </w:tcPr>
          <w:p>
            <w:pPr>
              <w:spacing w:after="40" w:before="20" w:line="245" w:lineRule="auto"/>
            </w:pPr>
            <w:r>
              <w:rPr>
                <w:sz w:val="18"/>
              </w:rPr>
              <w:t>Diagnóstico v11, auditoría del adjunto R98, Atlas original directo piloto y propuesta Lucy</w:t>
            </w:r>
          </w:p>
        </w:tc>
        <w:tc>
          <w:tcPr>
            <w:tcW w:type="dxa" w:w="3855"/>
            <w:vAlign w:val="top"/>
            <w:tcMar>
              <w:top w:w="80" w:type="dxa"/>
              <w:left w:w="80" w:type="dxa"/>
              <w:bottom w:w="80" w:type="dxa"/>
              <w:right w:w="80" w:type="dxa"/>
            </w:tcMar>
          </w:tcPr>
          <w:p>
            <w:pPr>
              <w:spacing w:after="40" w:before="20" w:line="245" w:lineRule="auto"/>
            </w:pPr>
            <w:r>
              <w:rPr>
                <w:sz w:val="18"/>
              </w:rPr>
              <w:t>v11/R98 pendientes del destino. La vinculación Lucy se propuso por etapas.</w:t>
            </w:r>
          </w:p>
        </w:tc>
      </w:tr>
      <w:tr>
        <w:trPr>
          <w:cantSplit/>
        </w:trPr>
        <w:tc>
          <w:tcPr>
            <w:tcW w:type="dxa" w:w="1701"/>
            <w:vAlign w:val="top"/>
            <w:tcMar>
              <w:top w:w="80" w:type="dxa"/>
              <w:left w:w="80" w:type="dxa"/>
              <w:bottom w:w="80" w:type="dxa"/>
              <w:right w:w="80" w:type="dxa"/>
            </w:tcMar>
          </w:tcPr>
          <w:p>
            <w:pPr>
              <w:spacing w:after="40" w:before="20" w:line="245" w:lineRule="auto"/>
            </w:pPr>
            <w:r>
              <w:rPr>
                <w:sz w:val="18"/>
              </w:rPr>
              <w:t>24 de octubre</w:t>
            </w:r>
          </w:p>
        </w:tc>
        <w:tc>
          <w:tcPr>
            <w:tcW w:type="dxa" w:w="3969"/>
            <w:vAlign w:val="top"/>
            <w:tcMar>
              <w:top w:w="80" w:type="dxa"/>
              <w:left w:w="80" w:type="dxa"/>
              <w:bottom w:w="80" w:type="dxa"/>
              <w:right w:w="80" w:type="dxa"/>
            </w:tcMar>
          </w:tcPr>
          <w:p>
            <w:pPr>
              <w:spacing w:after="40" w:before="20" w:line="245" w:lineRule="auto"/>
            </w:pPr>
            <w:r>
              <w:rPr>
                <w:sz w:val="18"/>
              </w:rPr>
              <w:t>Reconstrucción PB-AUD-01 y prueba aislada multimedia</w:t>
            </w:r>
          </w:p>
        </w:tc>
        <w:tc>
          <w:tcPr>
            <w:tcW w:type="dxa" w:w="3855"/>
            <w:vAlign w:val="top"/>
            <w:tcMar>
              <w:top w:w="80" w:type="dxa"/>
              <w:left w:w="80" w:type="dxa"/>
              <w:bottom w:w="80" w:type="dxa"/>
              <w:right w:w="80" w:type="dxa"/>
            </w:tcMar>
          </w:tcPr>
          <w:p>
            <w:pPr>
              <w:spacing w:after="40" w:before="20" w:line="245" w:lineRule="auto"/>
            </w:pPr>
            <w:r>
              <w:rPr>
                <w:sz w:val="18"/>
              </w:rPr>
              <w:t>Documentación y diagnóstico; no se cambia ni publica el programa.</w:t>
            </w:r>
          </w:p>
        </w:tc>
      </w:tr>
    </w:tbl>
    <w:p>
      <w:pPr>
        <w:spacing w:after="40"/>
      </w:pPr>
    </w:p>
    <w:p>
      <w:r>
        <w:t>Las fechas anteriores combinan fechas de documentos y antecedentes de conversación; no se interpretan automáticamente como fecha de origen de cada función. No se han localizado documentos posteriores al 28 de septiembre que acrediten el cierre de los pendientes descritos. [E01-E11]</w:t>
      </w:r>
    </w:p>
    <w:p>
      <w:r>
        <w:br w:type="page"/>
      </w:r>
    </w:p>
    <w:p>
      <w:pPr>
        <w:pStyle w:val="Heading1"/>
      </w:pPr>
      <w:r>
        <w:t>4. Qué rama sirve para qué</w:t>
      </w:r>
    </w:p>
    <w:tbl>
      <w:tblPr>
        <w:tblW w:type="auto" w:w="0"/>
        <w:jc w:val="center"/>
        <w:tblLayout w:type="fixed"/>
        <w:tblLook w:firstColumn="1" w:firstRow="1" w:lastColumn="0" w:lastRow="0" w:noHBand="0" w:noVBand="1" w:val="04A0"/>
      </w:tblPr>
      <w:tblGrid>
        <w:gridCol w:w="1928"/>
        <w:gridCol w:w="3515"/>
        <w:gridCol w:w="4082"/>
      </w:tblGrid>
      <w:tr>
        <w:trPr>
          <w:tblHeader/>
          <w:cantSplit/>
        </w:trPr>
        <w:tc>
          <w:tcPr>
            <w:tcW w:type="dxa" w:w="1928"/>
            <w:shd w:fill="E7EFF0"/>
            <w:tcMar>
              <w:top w:w="80" w:type="dxa"/>
              <w:left w:w="80" w:type="dxa"/>
              <w:bottom w:w="80" w:type="dxa"/>
              <w:right w:w="80" w:type="dxa"/>
            </w:tcMar>
          </w:tcPr>
          <w:p>
            <w:pPr>
              <w:spacing w:after="40" w:before="20" w:line="245" w:lineRule="auto"/>
            </w:pPr>
            <w:r>
              <w:rPr>
                <w:b/>
                <w:color w:val="173E48"/>
                <w:sz w:val="18"/>
              </w:rPr>
              <w:t>Rama</w:t>
            </w:r>
          </w:p>
        </w:tc>
        <w:tc>
          <w:tcPr>
            <w:tcW w:type="dxa" w:w="3515"/>
            <w:shd w:fill="E7EFF0"/>
            <w:tcMar>
              <w:top w:w="80" w:type="dxa"/>
              <w:left w:w="80" w:type="dxa"/>
              <w:bottom w:w="80" w:type="dxa"/>
              <w:right w:w="80" w:type="dxa"/>
            </w:tcMar>
          </w:tcPr>
          <w:p>
            <w:pPr>
              <w:spacing w:after="40" w:before="20" w:line="245" w:lineRule="auto"/>
            </w:pPr>
            <w:r>
              <w:rPr>
                <w:b/>
                <w:color w:val="173E48"/>
                <w:sz w:val="18"/>
              </w:rPr>
              <w:t>Aportación</w:t>
            </w:r>
          </w:p>
        </w:tc>
        <w:tc>
          <w:tcPr>
            <w:tcW w:type="dxa" w:w="4082"/>
            <w:shd w:fill="E7EFF0"/>
            <w:tcMar>
              <w:top w:w="80" w:type="dxa"/>
              <w:left w:w="80" w:type="dxa"/>
              <w:bottom w:w="80" w:type="dxa"/>
              <w:right w:w="80" w:type="dxa"/>
            </w:tcMar>
          </w:tcPr>
          <w:p>
            <w:pPr>
              <w:spacing w:after="40" w:before="20" w:line="245" w:lineRule="auto"/>
            </w:pPr>
            <w:r>
              <w:rPr>
                <w:b/>
                <w:color w:val="173E48"/>
                <w:sz w:val="18"/>
              </w:rPr>
              <w:t>Estado y decisión</w:t>
            </w:r>
          </w:p>
        </w:tc>
      </w:tr>
      <w:tr>
        <w:trPr>
          <w:cantSplit/>
        </w:trPr>
        <w:tc>
          <w:tcPr>
            <w:tcW w:type="dxa" w:w="1928"/>
            <w:vAlign w:val="top"/>
            <w:tcMar>
              <w:top w:w="80" w:type="dxa"/>
              <w:left w:w="80" w:type="dxa"/>
              <w:bottom w:w="80" w:type="dxa"/>
              <w:right w:w="80" w:type="dxa"/>
            </w:tcMar>
          </w:tcPr>
          <w:p>
            <w:pPr>
              <w:spacing w:after="40" w:before="20" w:line="245" w:lineRule="auto"/>
            </w:pPr>
            <w:r>
              <w:rPr>
                <w:sz w:val="18"/>
              </w:rPr>
              <w:t>v56/v69</w:t>
            </w:r>
          </w:p>
        </w:tc>
        <w:tc>
          <w:tcPr>
            <w:tcW w:type="dxa" w:w="3515"/>
            <w:vAlign w:val="top"/>
            <w:tcMar>
              <w:top w:w="80" w:type="dxa"/>
              <w:left w:w="80" w:type="dxa"/>
              <w:bottom w:w="80" w:type="dxa"/>
              <w:right w:w="80" w:type="dxa"/>
            </w:tcMar>
          </w:tcPr>
          <w:p>
            <w:pPr>
              <w:spacing w:after="40" w:before="20" w:line="245" w:lineRule="auto"/>
            </w:pPr>
            <w:r>
              <w:rPr>
                <w:sz w:val="18"/>
              </w:rPr>
              <w:t>Contenido histórico y funcionalidades amplias</w:t>
            </w:r>
          </w:p>
        </w:tc>
        <w:tc>
          <w:tcPr>
            <w:tcW w:type="dxa" w:w="4082"/>
            <w:vAlign w:val="top"/>
            <w:tcMar>
              <w:top w:w="80" w:type="dxa"/>
              <w:left w:w="80" w:type="dxa"/>
              <w:bottom w:w="80" w:type="dxa"/>
              <w:right w:w="80" w:type="dxa"/>
            </w:tcMar>
          </w:tcPr>
          <w:p>
            <w:pPr>
              <w:spacing w:after="40" w:before="20" w:line="245" w:lineRule="auto"/>
            </w:pPr>
            <w:r>
              <w:rPr>
                <w:sz w:val="18"/>
              </w:rPr>
              <w:t>Archivar como referencia. Evitar sobrescribir módulos A3 con archivos antiguos.</w:t>
            </w:r>
          </w:p>
        </w:tc>
      </w:tr>
      <w:tr>
        <w:trPr>
          <w:cantSplit/>
        </w:trPr>
        <w:tc>
          <w:tcPr>
            <w:tcW w:type="dxa" w:w="1928"/>
            <w:vAlign w:val="top"/>
            <w:tcMar>
              <w:top w:w="80" w:type="dxa"/>
              <w:left w:w="80" w:type="dxa"/>
              <w:bottom w:w="80" w:type="dxa"/>
              <w:right w:w="80" w:type="dxa"/>
            </w:tcMar>
          </w:tcPr>
          <w:p>
            <w:pPr>
              <w:spacing w:after="40" w:before="20" w:line="245" w:lineRule="auto"/>
            </w:pPr>
            <w:r>
              <w:rPr>
                <w:sz w:val="18"/>
              </w:rPr>
              <w:t>Recovery R92/R93</w:t>
            </w:r>
          </w:p>
        </w:tc>
        <w:tc>
          <w:tcPr>
            <w:tcW w:type="dxa" w:w="3515"/>
            <w:vAlign w:val="top"/>
            <w:tcMar>
              <w:top w:w="80" w:type="dxa"/>
              <w:left w:w="80" w:type="dxa"/>
              <w:bottom w:w="80" w:type="dxa"/>
              <w:right w:w="80" w:type="dxa"/>
            </w:tcMar>
          </w:tcPr>
          <w:p>
            <w:pPr>
              <w:spacing w:after="40" w:before="20" w:line="245" w:lineRule="auto"/>
            </w:pPr>
            <w:r>
              <w:rPr>
                <w:sz w:val="18"/>
              </w:rPr>
              <w:t>Base canónica, seguridad, contratos Moodle y recepción de evidencias</w:t>
            </w:r>
          </w:p>
        </w:tc>
        <w:tc>
          <w:tcPr>
            <w:tcW w:type="dxa" w:w="4082"/>
            <w:vAlign w:val="top"/>
            <w:tcMar>
              <w:top w:w="80" w:type="dxa"/>
              <w:left w:w="80" w:type="dxa"/>
              <w:bottom w:w="80" w:type="dxa"/>
              <w:right w:w="80" w:type="dxa"/>
            </w:tcMar>
          </w:tcPr>
          <w:p>
            <w:pPr>
              <w:spacing w:after="40" w:before="20" w:line="245" w:lineRule="auto"/>
            </w:pPr>
            <w:r>
              <w:rPr>
                <w:sz w:val="18"/>
              </w:rPr>
              <w:t>R93 corresponde a R92; no puede adjudicar automáticamente un derivado A3.</w:t>
            </w:r>
          </w:p>
        </w:tc>
      </w:tr>
      <w:tr>
        <w:trPr>
          <w:cantSplit/>
        </w:trPr>
        <w:tc>
          <w:tcPr>
            <w:tcW w:type="dxa" w:w="1928"/>
            <w:vAlign w:val="top"/>
            <w:tcMar>
              <w:top w:w="80" w:type="dxa"/>
              <w:left w:w="80" w:type="dxa"/>
              <w:bottom w:w="80" w:type="dxa"/>
              <w:right w:w="80" w:type="dxa"/>
            </w:tcMar>
          </w:tcPr>
          <w:p>
            <w:pPr>
              <w:spacing w:after="40" w:before="20" w:line="245" w:lineRule="auto"/>
            </w:pPr>
            <w:r>
              <w:rPr>
                <w:sz w:val="18"/>
              </w:rPr>
              <w:t>A3 C6.3.5/C6.4.2</w:t>
            </w:r>
          </w:p>
        </w:tc>
        <w:tc>
          <w:tcPr>
            <w:tcW w:type="dxa" w:w="3515"/>
            <w:vAlign w:val="top"/>
            <w:tcMar>
              <w:top w:w="80" w:type="dxa"/>
              <w:left w:w="80" w:type="dxa"/>
              <w:bottom w:w="80" w:type="dxa"/>
              <w:right w:w="80" w:type="dxa"/>
            </w:tcMar>
          </w:tcPr>
          <w:p>
            <w:pPr>
              <w:spacing w:after="40" w:before="20" w:line="245" w:lineRule="auto"/>
            </w:pPr>
            <w:r>
              <w:rPr>
                <w:sz w:val="18"/>
              </w:rPr>
              <w:t>Contratos cronológicos y procedimientos de validación externa</w:t>
            </w:r>
          </w:p>
        </w:tc>
        <w:tc>
          <w:tcPr>
            <w:tcW w:type="dxa" w:w="4082"/>
            <w:vAlign w:val="top"/>
            <w:tcMar>
              <w:top w:w="80" w:type="dxa"/>
              <w:left w:w="80" w:type="dxa"/>
              <w:bottom w:w="80" w:type="dxa"/>
              <w:right w:w="80" w:type="dxa"/>
            </w:tcMar>
          </w:tcPr>
          <w:p>
            <w:pPr>
              <w:spacing w:after="40" w:before="20" w:line="245" w:lineRule="auto"/>
            </w:pPr>
            <w:r>
              <w:rPr>
                <w:sz w:val="18"/>
              </w:rPr>
              <w:t>Referencia de trazabilidad científica y técnica. Mantiene NO_GO.</w:t>
            </w:r>
          </w:p>
        </w:tc>
      </w:tr>
      <w:tr>
        <w:trPr>
          <w:cantSplit/>
        </w:trPr>
        <w:tc>
          <w:tcPr>
            <w:tcW w:type="dxa" w:w="1928"/>
            <w:vAlign w:val="top"/>
            <w:tcMar>
              <w:top w:w="80" w:type="dxa"/>
              <w:left w:w="80" w:type="dxa"/>
              <w:bottom w:w="80" w:type="dxa"/>
              <w:right w:w="80" w:type="dxa"/>
            </w:tcMar>
          </w:tcPr>
          <w:p>
            <w:pPr>
              <w:spacing w:after="40" w:before="20" w:line="245" w:lineRule="auto"/>
            </w:pPr>
            <w:r>
              <w:rPr>
                <w:sz w:val="18"/>
              </w:rPr>
              <w:t>Fase 7 y fase 7b</w:t>
            </w:r>
          </w:p>
        </w:tc>
        <w:tc>
          <w:tcPr>
            <w:tcW w:type="dxa" w:w="3515"/>
            <w:vAlign w:val="top"/>
            <w:tcMar>
              <w:top w:w="80" w:type="dxa"/>
              <w:left w:w="80" w:type="dxa"/>
              <w:bottom w:w="80" w:type="dxa"/>
              <w:right w:w="80" w:type="dxa"/>
            </w:tcMar>
          </w:tcPr>
          <w:p>
            <w:pPr>
              <w:spacing w:after="40" w:before="20" w:line="245" w:lineRule="auto"/>
            </w:pPr>
            <w:r>
              <w:rPr>
                <w:sz w:val="18"/>
              </w:rPr>
              <w:t>Reconciliación de fichas, corrección de medios/etiquetas y estados de carga</w:t>
            </w:r>
          </w:p>
        </w:tc>
        <w:tc>
          <w:tcPr>
            <w:tcW w:type="dxa" w:w="4082"/>
            <w:vAlign w:val="top"/>
            <w:tcMar>
              <w:top w:w="80" w:type="dxa"/>
              <w:left w:w="80" w:type="dxa"/>
              <w:bottom w:w="80" w:type="dxa"/>
              <w:right w:w="80" w:type="dxa"/>
            </w:tcMar>
          </w:tcPr>
          <w:p>
            <w:pPr>
              <w:spacing w:after="40" w:before="20" w:line="245" w:lineRule="auto"/>
            </w:pPr>
            <w:r>
              <w:rPr>
                <w:sz w:val="18"/>
              </w:rPr>
              <w:t>Derivado de trabajo. 137 archivos de ejecución en su kit; navegador y Moodle sin validar.</w:t>
            </w:r>
          </w:p>
        </w:tc>
      </w:tr>
      <w:tr>
        <w:trPr>
          <w:cantSplit/>
        </w:trPr>
        <w:tc>
          <w:tcPr>
            <w:tcW w:type="dxa" w:w="1928"/>
            <w:vAlign w:val="top"/>
            <w:tcMar>
              <w:top w:w="80" w:type="dxa"/>
              <w:left w:w="80" w:type="dxa"/>
              <w:bottom w:w="80" w:type="dxa"/>
              <w:right w:w="80" w:type="dxa"/>
            </w:tcMar>
          </w:tcPr>
          <w:p>
            <w:pPr>
              <w:spacing w:after="40" w:before="20" w:line="245" w:lineRule="auto"/>
            </w:pPr>
            <w:r>
              <w:rPr>
                <w:sz w:val="18"/>
              </w:rPr>
              <w:t>Entrada directa v9</w:t>
            </w:r>
          </w:p>
        </w:tc>
        <w:tc>
          <w:tcPr>
            <w:tcW w:type="dxa" w:w="3515"/>
            <w:vAlign w:val="top"/>
            <w:tcMar>
              <w:top w:w="80" w:type="dxa"/>
              <w:left w:w="80" w:type="dxa"/>
              <w:bottom w:w="80" w:type="dxa"/>
              <w:right w:w="80" w:type="dxa"/>
            </w:tcMar>
          </w:tcPr>
          <w:p>
            <w:pPr>
              <w:spacing w:after="40" w:before="20" w:line="245" w:lineRule="auto"/>
            </w:pPr>
            <w:r>
              <w:rPr>
                <w:sz w:val="18"/>
              </w:rPr>
              <w:t>Consulta ligera con confirmación recuperada del usuario</w:t>
            </w:r>
          </w:p>
        </w:tc>
        <w:tc>
          <w:tcPr>
            <w:tcW w:type="dxa" w:w="4082"/>
            <w:vAlign w:val="top"/>
            <w:tcMar>
              <w:top w:w="80" w:type="dxa"/>
              <w:left w:w="80" w:type="dxa"/>
              <w:bottom w:w="80" w:type="dxa"/>
              <w:right w:w="80" w:type="dxa"/>
            </w:tcMar>
          </w:tcPr>
          <w:p>
            <w:pPr>
              <w:spacing w:after="40" w:before="20" w:line="245" w:lineRule="auto"/>
            </w:pPr>
            <w:r>
              <w:rPr>
                <w:sz w:val="18"/>
              </w:rPr>
              <w:t>Candidata a referencia operativa; identificar el archivo exacto y no extender su confirmación a v10/v11.</w:t>
            </w:r>
          </w:p>
        </w:tc>
      </w:tr>
      <w:tr>
        <w:trPr>
          <w:cantSplit/>
        </w:trPr>
        <w:tc>
          <w:tcPr>
            <w:tcW w:type="dxa" w:w="1928"/>
            <w:vAlign w:val="top"/>
            <w:tcMar>
              <w:top w:w="80" w:type="dxa"/>
              <w:left w:w="80" w:type="dxa"/>
              <w:bottom w:w="80" w:type="dxa"/>
              <w:right w:w="80" w:type="dxa"/>
            </w:tcMar>
          </w:tcPr>
          <w:p>
            <w:pPr>
              <w:spacing w:after="40" w:before="20" w:line="245" w:lineRule="auto"/>
            </w:pPr>
            <w:r>
              <w:rPr>
                <w:sz w:val="18"/>
              </w:rPr>
              <w:t>Entrada directa v11</w:t>
            </w:r>
          </w:p>
        </w:tc>
        <w:tc>
          <w:tcPr>
            <w:tcW w:type="dxa" w:w="3515"/>
            <w:vAlign w:val="top"/>
            <w:tcMar>
              <w:top w:w="80" w:type="dxa"/>
              <w:left w:w="80" w:type="dxa"/>
              <w:bottom w:w="80" w:type="dxa"/>
              <w:right w:w="80" w:type="dxa"/>
            </w:tcMar>
          </w:tcPr>
          <w:p>
            <w:pPr>
              <w:spacing w:after="40" w:before="20" w:line="245" w:lineRule="auto"/>
            </w:pPr>
            <w:r>
              <w:rPr>
                <w:sz w:val="18"/>
              </w:rPr>
              <w:t>Mismo catálogo que fase 7, 47 recursos documentados y sonda de imágenes</w:t>
            </w:r>
          </w:p>
        </w:tc>
        <w:tc>
          <w:tcPr>
            <w:tcW w:type="dxa" w:w="4082"/>
            <w:vAlign w:val="top"/>
            <w:tcMar>
              <w:top w:w="80" w:type="dxa"/>
              <w:left w:w="80" w:type="dxa"/>
              <w:bottom w:w="80" w:type="dxa"/>
              <w:right w:w="80" w:type="dxa"/>
            </w:tcMar>
          </w:tcPr>
          <w:p>
            <w:pPr>
              <w:spacing w:after="40" w:before="20" w:line="245" w:lineRule="auto"/>
            </w:pPr>
            <w:r>
              <w:rPr>
                <w:sz w:val="18"/>
              </w:rPr>
              <w:t>Candidata de diagnóstico. Necesita comprobar imágenes y scripts en el curso.</w:t>
            </w:r>
          </w:p>
        </w:tc>
      </w:tr>
      <w:tr>
        <w:trPr>
          <w:cantSplit/>
        </w:trPr>
        <w:tc>
          <w:tcPr>
            <w:tcW w:type="dxa" w:w="1928"/>
            <w:vAlign w:val="top"/>
            <w:tcMar>
              <w:top w:w="80" w:type="dxa"/>
              <w:left w:w="80" w:type="dxa"/>
              <w:bottom w:w="80" w:type="dxa"/>
              <w:right w:w="80" w:type="dxa"/>
            </w:tcMar>
          </w:tcPr>
          <w:p>
            <w:pPr>
              <w:spacing w:after="40" w:before="20" w:line="245" w:lineRule="auto"/>
            </w:pPr>
            <w:r>
              <w:rPr>
                <w:sz w:val="18"/>
              </w:rPr>
              <w:t>Atlas R98 directo piloto</w:t>
            </w:r>
          </w:p>
        </w:tc>
        <w:tc>
          <w:tcPr>
            <w:tcW w:type="dxa" w:w="3515"/>
            <w:vAlign w:val="top"/>
            <w:tcMar>
              <w:top w:w="80" w:type="dxa"/>
              <w:left w:w="80" w:type="dxa"/>
              <w:bottom w:w="80" w:type="dxa"/>
              <w:right w:w="80" w:type="dxa"/>
            </w:tcMar>
          </w:tcPr>
          <w:p>
            <w:pPr>
              <w:spacing w:after="40" w:before="20" w:line="245" w:lineRule="auto"/>
            </w:pPr>
            <w:r>
              <w:rPr>
                <w:sz w:val="18"/>
              </w:rPr>
              <w:t>Recupera navegación, mapas, filogenia, comparadores y herramientas en un HTML</w:t>
            </w:r>
          </w:p>
        </w:tc>
        <w:tc>
          <w:tcPr>
            <w:tcW w:type="dxa" w:w="4082"/>
            <w:vAlign w:val="top"/>
            <w:tcMar>
              <w:top w:w="80" w:type="dxa"/>
              <w:left w:w="80" w:type="dxa"/>
              <w:bottom w:w="80" w:type="dxa"/>
              <w:right w:w="80" w:type="dxa"/>
            </w:tcMar>
          </w:tcPr>
          <w:p>
            <w:pPr>
              <w:spacing w:after="40" w:before="20" w:line="245" w:lineRule="auto"/>
            </w:pPr>
            <w:r>
              <w:rPr>
                <w:sz w:val="18"/>
              </w:rPr>
              <w:t>Prueba amplia sin validación real; incluye el conflicto del módulo 066.</w:t>
            </w:r>
          </w:p>
        </w:tc>
      </w:tr>
      <w:tr>
        <w:trPr>
          <w:cantSplit/>
        </w:trPr>
        <w:tc>
          <w:tcPr>
            <w:tcW w:type="dxa" w:w="1928"/>
            <w:vAlign w:val="top"/>
            <w:tcMar>
              <w:top w:w="80" w:type="dxa"/>
              <w:left w:w="80" w:type="dxa"/>
              <w:bottom w:w="80" w:type="dxa"/>
              <w:right w:w="80" w:type="dxa"/>
            </w:tcMar>
          </w:tcPr>
          <w:p>
            <w:pPr>
              <w:spacing w:after="40" w:before="20" w:line="245" w:lineRule="auto"/>
            </w:pPr>
            <w:r>
              <w:rPr>
                <w:sz w:val="18"/>
              </w:rPr>
              <w:t>Balanced v7</w:t>
            </w:r>
          </w:p>
        </w:tc>
        <w:tc>
          <w:tcPr>
            <w:tcW w:type="dxa" w:w="3515"/>
            <w:vAlign w:val="top"/>
            <w:tcMar>
              <w:top w:w="80" w:type="dxa"/>
              <w:left w:w="80" w:type="dxa"/>
              <w:bottom w:w="80" w:type="dxa"/>
              <w:right w:w="80" w:type="dxa"/>
            </w:tcMar>
          </w:tcPr>
          <w:p>
            <w:pPr>
              <w:spacing w:after="40" w:before="20" w:line="245" w:lineRule="auto"/>
            </w:pPr>
            <w:r>
              <w:rPr>
                <w:sz w:val="18"/>
              </w:rPr>
              <w:t>50 fichas, cuatro rutas y 16 pasos en un SCORM ligero</w:t>
            </w:r>
          </w:p>
        </w:tc>
        <w:tc>
          <w:tcPr>
            <w:tcW w:type="dxa" w:w="4082"/>
            <w:vAlign w:val="top"/>
            <w:tcMar>
              <w:top w:w="80" w:type="dxa"/>
              <w:left w:w="80" w:type="dxa"/>
              <w:bottom w:w="80" w:type="dxa"/>
              <w:right w:w="80" w:type="dxa"/>
            </w:tcMar>
          </w:tcPr>
          <w:p>
            <w:pPr>
              <w:spacing w:after="40" w:before="20" w:line="245" w:lineRule="auto"/>
            </w:pPr>
            <w:r>
              <w:rPr>
                <w:sz w:val="18"/>
              </w:rPr>
              <w:t>Candidato de otra rama. Los ensayos estructurales no prueban su ciclo LMS.</w:t>
            </w:r>
          </w:p>
        </w:tc>
      </w:tr>
      <w:tr>
        <w:trPr>
          <w:cantSplit/>
        </w:trPr>
        <w:tc>
          <w:tcPr>
            <w:tcW w:type="dxa" w:w="1928"/>
            <w:vAlign w:val="top"/>
            <w:tcMar>
              <w:top w:w="80" w:type="dxa"/>
              <w:left w:w="80" w:type="dxa"/>
              <w:bottom w:w="80" w:type="dxa"/>
              <w:right w:w="80" w:type="dxa"/>
            </w:tcMar>
          </w:tcPr>
          <w:p>
            <w:pPr>
              <w:spacing w:after="40" w:before="20" w:line="245" w:lineRule="auto"/>
            </w:pPr>
            <w:r>
              <w:rPr>
                <w:sz w:val="18"/>
              </w:rPr>
              <w:t>Immersive P9.1</w:t>
            </w:r>
          </w:p>
        </w:tc>
        <w:tc>
          <w:tcPr>
            <w:tcW w:type="dxa" w:w="3515"/>
            <w:vAlign w:val="top"/>
            <w:tcMar>
              <w:top w:w="80" w:type="dxa"/>
              <w:left w:w="80" w:type="dxa"/>
              <w:bottom w:w="80" w:type="dxa"/>
              <w:right w:w="80" w:type="dxa"/>
            </w:tcMar>
          </w:tcPr>
          <w:p>
            <w:pPr>
              <w:spacing w:after="40" w:before="20" w:line="245" w:lineRule="auto"/>
            </w:pPr>
            <w:r>
              <w:rPr>
                <w:sz w:val="18"/>
              </w:rPr>
              <w:t>Adaptador y carcasa de interacción separados</w:t>
            </w:r>
          </w:p>
        </w:tc>
        <w:tc>
          <w:tcPr>
            <w:tcW w:type="dxa" w:w="4082"/>
            <w:vAlign w:val="top"/>
            <w:tcMar>
              <w:top w:w="80" w:type="dxa"/>
              <w:left w:w="80" w:type="dxa"/>
              <w:bottom w:w="80" w:type="dxa"/>
              <w:right w:w="80" w:type="dxa"/>
            </w:tcMar>
          </w:tcPr>
          <w:p>
            <w:pPr>
              <w:spacing w:after="40" w:before="20" w:line="245" w:lineRule="auto"/>
            </w:pPr>
            <w:r>
              <w:rPr>
                <w:sz w:val="18"/>
              </w:rPr>
              <w:t>Mantener aislado. Sin activación científica aprobada ni retorno auténtico.</w:t>
            </w:r>
          </w:p>
        </w:tc>
      </w:tr>
    </w:tbl>
    <w:p>
      <w:pPr>
        <w:spacing w:after="40"/>
      </w:pPr>
    </w:p>
    <w:p>
      <w:pPr>
        <w:pStyle w:val="Heading2"/>
      </w:pPr>
      <w:r>
        <w:t>Referencia recomendada para el siguiente trabajo</w:t>
      </w:r>
    </w:p>
    <w:p>
      <w:r>
        <w:t>Usar el catálogo preservado como fuente de datos y una copia identificada de la entrada ligera para la prueba operativa. Elegir v11 cuando el objetivo sea diagnosticar imágenes; mantener disponible la v9 recuperada como referencia de retorno. Conservar el Atlas piloto como rama de ensayo avanzada hasta resolver sus conflictos y comprobarlo en Moodle.</w:t>
      </w:r>
    </w:p>
    <w:p>
      <w:r>
        <w:t>Esta elección es una propuesta de trabajo. No se promueve ninguna rama ni se reemplaza la versión instalada en el curso. La identidad de una evidencia exige archivo, huella, configuración, actividad y acciones probadas. [E03, E05-E11]</w:t>
      </w:r>
    </w:p>
    <w:p>
      <w:r>
        <w:br w:type="page"/>
      </w:r>
    </w:p>
    <w:p>
      <w:pPr>
        <w:pStyle w:val="Heading1"/>
      </w:pPr>
      <w:r>
        <w:t>5. Cambios históricos que tienen una justificación recuperable</w:t>
      </w:r>
    </w:p>
    <w:tbl>
      <w:tblPr>
        <w:tblW w:type="auto" w:w="0"/>
        <w:jc w:val="center"/>
        <w:tblLayout w:type="fixed"/>
        <w:tblLook w:firstColumn="1" w:firstRow="1" w:lastColumn="0" w:lastRow="0" w:noHBand="0" w:noVBand="1" w:val="04A0"/>
      </w:tblPr>
      <w:tblGrid>
        <w:gridCol w:w="2835"/>
        <w:gridCol w:w="2948"/>
        <w:gridCol w:w="3742"/>
      </w:tblGrid>
      <w:tr>
        <w:trPr>
          <w:tblHeader/>
          <w:cantSplit/>
        </w:trPr>
        <w:tc>
          <w:tcPr>
            <w:tcW w:type="dxa" w:w="2835"/>
            <w:shd w:fill="E7EFF0"/>
            <w:tcMar>
              <w:top w:w="80" w:type="dxa"/>
              <w:left w:w="80" w:type="dxa"/>
              <w:bottom w:w="80" w:type="dxa"/>
              <w:right w:w="80" w:type="dxa"/>
            </w:tcMar>
          </w:tcPr>
          <w:p>
            <w:pPr>
              <w:spacing w:after="40" w:before="20" w:line="245" w:lineRule="auto"/>
            </w:pPr>
            <w:r>
              <w:rPr>
                <w:b/>
                <w:color w:val="173E48"/>
                <w:sz w:val="18"/>
              </w:rPr>
              <w:t>Cambio</w:t>
            </w:r>
          </w:p>
        </w:tc>
        <w:tc>
          <w:tcPr>
            <w:tcW w:type="dxa" w:w="2948"/>
            <w:shd w:fill="E7EFF0"/>
            <w:tcMar>
              <w:top w:w="80" w:type="dxa"/>
              <w:left w:w="80" w:type="dxa"/>
              <w:bottom w:w="80" w:type="dxa"/>
              <w:right w:w="80" w:type="dxa"/>
            </w:tcMar>
          </w:tcPr>
          <w:p>
            <w:pPr>
              <w:spacing w:after="40" w:before="20" w:line="245" w:lineRule="auto"/>
            </w:pPr>
            <w:r>
              <w:rPr>
                <w:b/>
                <w:color w:val="173E48"/>
                <w:sz w:val="18"/>
              </w:rPr>
              <w:t>Por qué se hizo</w:t>
            </w:r>
          </w:p>
        </w:tc>
        <w:tc>
          <w:tcPr>
            <w:tcW w:type="dxa" w:w="3742"/>
            <w:shd w:fill="E7EFF0"/>
            <w:tcMar>
              <w:top w:w="80" w:type="dxa"/>
              <w:left w:w="80" w:type="dxa"/>
              <w:bottom w:w="80" w:type="dxa"/>
              <w:right w:w="80" w:type="dxa"/>
            </w:tcMar>
          </w:tcPr>
          <w:p>
            <w:pPr>
              <w:spacing w:after="40" w:before="20" w:line="245" w:lineRule="auto"/>
            </w:pPr>
            <w:r>
              <w:rPr>
                <w:b/>
                <w:color w:val="173E48"/>
                <w:sz w:val="18"/>
              </w:rPr>
              <w:t>Qué se comprobó y qué sigue abierto</w:t>
            </w:r>
          </w:p>
        </w:tc>
      </w:tr>
      <w:tr>
        <w:trPr>
          <w:cantSplit/>
        </w:trPr>
        <w:tc>
          <w:tcPr>
            <w:tcW w:type="dxa" w:w="2835"/>
            <w:vAlign w:val="top"/>
            <w:tcMar>
              <w:top w:w="80" w:type="dxa"/>
              <w:left w:w="80" w:type="dxa"/>
              <w:bottom w:w="80" w:type="dxa"/>
              <w:right w:w="80" w:type="dxa"/>
            </w:tcMar>
          </w:tcPr>
          <w:p>
            <w:pPr>
              <w:spacing w:after="40" w:before="20" w:line="245" w:lineRule="auto"/>
            </w:pPr>
            <w:r>
              <w:rPr>
                <w:sz w:val="18"/>
              </w:rPr>
              <w:t>v37: retirada de captura global; conservación de API</w:t>
            </w:r>
          </w:p>
        </w:tc>
        <w:tc>
          <w:tcPr>
            <w:tcW w:type="dxa" w:w="2948"/>
            <w:vAlign w:val="top"/>
            <w:tcMar>
              <w:top w:w="80" w:type="dxa"/>
              <w:left w:w="80" w:type="dxa"/>
              <w:bottom w:w="80" w:type="dxa"/>
              <w:right w:w="80" w:type="dxa"/>
            </w:tcMar>
          </w:tcPr>
          <w:p>
            <w:pPr>
              <w:spacing w:after="40" w:before="20" w:line="245" w:lineRule="auto"/>
            </w:pPr>
            <w:r>
              <w:rPr>
                <w:sz w:val="18"/>
              </w:rPr>
              <w:t>v50/v51/v56 seguían consumiendo sus métodos</w:t>
            </w:r>
          </w:p>
        </w:tc>
        <w:tc>
          <w:tcPr>
            <w:tcW w:type="dxa" w:w="3742"/>
            <w:vAlign w:val="top"/>
            <w:tcMar>
              <w:top w:w="80" w:type="dxa"/>
              <w:left w:w="80" w:type="dxa"/>
              <w:bottom w:w="80" w:type="dxa"/>
              <w:right w:w="80" w:type="dxa"/>
            </w:tcMar>
          </w:tcPr>
          <w:p>
            <w:pPr>
              <w:spacing w:after="40" w:before="20" w:line="245" w:lineRule="auto"/>
            </w:pPr>
            <w:r>
              <w:rPr>
                <w:sz w:val="18"/>
              </w:rPr>
              <w:t>R15 registra sustitutos y regresiones contractuales; uso visual final pendiente.</w:t>
            </w:r>
          </w:p>
        </w:tc>
      </w:tr>
      <w:tr>
        <w:trPr>
          <w:cantSplit/>
        </w:trPr>
        <w:tc>
          <w:tcPr>
            <w:tcW w:type="dxa" w:w="2835"/>
            <w:vAlign w:val="top"/>
            <w:tcMar>
              <w:top w:w="80" w:type="dxa"/>
              <w:left w:w="80" w:type="dxa"/>
              <w:bottom w:w="80" w:type="dxa"/>
              <w:right w:w="80" w:type="dxa"/>
            </w:tcMar>
          </w:tcPr>
          <w:p>
            <w:pPr>
              <w:spacing w:after="40" w:before="20" w:line="245" w:lineRule="auto"/>
            </w:pPr>
            <w:r>
              <w:rPr>
                <w:sz w:val="18"/>
              </w:rPr>
              <w:t>v45: retirada del módulo de portada</w:t>
            </w:r>
          </w:p>
        </w:tc>
        <w:tc>
          <w:tcPr>
            <w:tcW w:type="dxa" w:w="2948"/>
            <w:vAlign w:val="top"/>
            <w:tcMar>
              <w:top w:w="80" w:type="dxa"/>
              <w:left w:w="80" w:type="dxa"/>
              <w:bottom w:w="80" w:type="dxa"/>
              <w:right w:w="80" w:type="dxa"/>
            </w:tcMar>
          </w:tcPr>
          <w:p>
            <w:pPr>
              <w:spacing w:after="40" w:before="20" w:line="245" w:lineRule="auto"/>
            </w:pPr>
            <w:r>
              <w:rPr>
                <w:sz w:val="18"/>
              </w:rPr>
              <w:t>No exportaba API ni tenía consumidores de sus marcadores</w:t>
            </w:r>
          </w:p>
        </w:tc>
        <w:tc>
          <w:tcPr>
            <w:tcW w:type="dxa" w:w="3742"/>
            <w:vAlign w:val="top"/>
            <w:tcMar>
              <w:top w:w="80" w:type="dxa"/>
              <w:left w:w="80" w:type="dxa"/>
              <w:bottom w:w="80" w:type="dxa"/>
              <w:right w:w="80" w:type="dxa"/>
            </w:tcMar>
          </w:tcPr>
          <w:p>
            <w:pPr>
              <w:spacing w:after="40" w:before="20" w:line="245" w:lineRule="auto"/>
            </w:pPr>
            <w:r>
              <w:rPr>
                <w:sz w:val="18"/>
              </w:rPr>
              <w:t>R38 verificó destinos y acciones del núcleo. No autoriza borrar otros guards por analogía.</w:t>
            </w:r>
          </w:p>
        </w:tc>
      </w:tr>
      <w:tr>
        <w:trPr>
          <w:cantSplit/>
        </w:trPr>
        <w:tc>
          <w:tcPr>
            <w:tcW w:type="dxa" w:w="2835"/>
            <w:vAlign w:val="top"/>
            <w:tcMar>
              <w:top w:w="80" w:type="dxa"/>
              <w:left w:w="80" w:type="dxa"/>
              <w:bottom w:w="80" w:type="dxa"/>
              <w:right w:w="80" w:type="dxa"/>
            </w:tcMar>
          </w:tcPr>
          <w:p>
            <w:pPr>
              <w:spacing w:after="40" w:before="20" w:line="245" w:lineRule="auto"/>
            </w:pPr>
            <w:r>
              <w:rPr>
                <w:sz w:val="18"/>
              </w:rPr>
              <w:t>R57: cuatro rutas CSS y sw.js</w:t>
            </w:r>
          </w:p>
        </w:tc>
        <w:tc>
          <w:tcPr>
            <w:tcW w:type="dxa" w:w="2948"/>
            <w:vAlign w:val="top"/>
            <w:tcMar>
              <w:top w:w="80" w:type="dxa"/>
              <w:left w:w="80" w:type="dxa"/>
              <w:bottom w:w="80" w:type="dxa"/>
              <w:right w:w="80" w:type="dxa"/>
            </w:tcMar>
          </w:tcPr>
          <w:p>
            <w:pPr>
              <w:spacing w:after="40" w:before="20" w:line="245" w:lineRule="auto"/>
            </w:pPr>
            <w:r>
              <w:rPr>
                <w:sz w:val="18"/>
              </w:rPr>
              <w:t>Rutas dinámicas inválidas y registro de un archivo ausente</w:t>
            </w:r>
          </w:p>
        </w:tc>
        <w:tc>
          <w:tcPr>
            <w:tcW w:type="dxa" w:w="3742"/>
            <w:vAlign w:val="top"/>
            <w:tcMar>
              <w:top w:w="80" w:type="dxa"/>
              <w:left w:w="80" w:type="dxa"/>
              <w:bottom w:w="80" w:type="dxa"/>
              <w:right w:w="80" w:type="dxa"/>
            </w:tcMar>
          </w:tcPr>
          <w:p>
            <w:pPr>
              <w:spacing w:after="40" w:before="20" w:line="245" w:lineRule="auto"/>
            </w:pPr>
            <w:r>
              <w:rPr>
                <w:sz w:val="18"/>
              </w:rPr>
              <w:t>R57 dejó 4 a 0 referencias dinámicas rotas; no acreditó PWA ni modo sin conexión.</w:t>
            </w:r>
          </w:p>
        </w:tc>
      </w:tr>
      <w:tr>
        <w:trPr>
          <w:cantSplit/>
        </w:trPr>
        <w:tc>
          <w:tcPr>
            <w:tcW w:type="dxa" w:w="2835"/>
            <w:vAlign w:val="top"/>
            <w:tcMar>
              <w:top w:w="80" w:type="dxa"/>
              <w:left w:w="80" w:type="dxa"/>
              <w:bottom w:w="80" w:type="dxa"/>
              <w:right w:w="80" w:type="dxa"/>
            </w:tcMar>
          </w:tcPr>
          <w:p>
            <w:pPr>
              <w:spacing w:after="40" w:before="20" w:line="245" w:lineRule="auto"/>
            </w:pPr>
            <w:r>
              <w:rPr>
                <w:sz w:val="18"/>
              </w:rPr>
              <w:t>R64/R89: scope y CSP</w:t>
            </w:r>
          </w:p>
        </w:tc>
        <w:tc>
          <w:tcPr>
            <w:tcW w:type="dxa" w:w="2948"/>
            <w:vAlign w:val="top"/>
            <w:tcMar>
              <w:top w:w="80" w:type="dxa"/>
              <w:left w:w="80" w:type="dxa"/>
              <w:bottom w:w="80" w:type="dxa"/>
              <w:right w:w="80" w:type="dxa"/>
            </w:tcMar>
          </w:tcPr>
          <w:p>
            <w:pPr>
              <w:spacing w:after="40" w:before="20" w:line="245" w:lineRule="auto"/>
            </w:pPr>
            <w:r>
              <w:rPr>
                <w:sz w:val="18"/>
              </w:rPr>
              <w:t>Evitar mezcla de almacenamiento y permisos no necesarios</w:t>
            </w:r>
          </w:p>
        </w:tc>
        <w:tc>
          <w:tcPr>
            <w:tcW w:type="dxa" w:w="3742"/>
            <w:vAlign w:val="top"/>
            <w:tcMar>
              <w:top w:w="80" w:type="dxa"/>
              <w:left w:w="80" w:type="dxa"/>
              <w:bottom w:w="80" w:type="dxa"/>
              <w:right w:w="80" w:type="dxa"/>
            </w:tcMar>
          </w:tcPr>
          <w:p>
            <w:pPr>
              <w:spacing w:after="40" w:before="20" w:line="245" w:lineRule="auto"/>
            </w:pPr>
            <w:r>
              <w:rPr>
                <w:sz w:val="18"/>
              </w:rPr>
              <w:t>Ensayos simulados y estáticos. Falta cumplimiento efectivo de cabeceras/iframe en Moodle.</w:t>
            </w:r>
          </w:p>
        </w:tc>
      </w:tr>
      <w:tr>
        <w:trPr>
          <w:cantSplit/>
        </w:trPr>
        <w:tc>
          <w:tcPr>
            <w:tcW w:type="dxa" w:w="2835"/>
            <w:vAlign w:val="top"/>
            <w:tcMar>
              <w:top w:w="80" w:type="dxa"/>
              <w:left w:w="80" w:type="dxa"/>
              <w:bottom w:w="80" w:type="dxa"/>
              <w:right w:w="80" w:type="dxa"/>
            </w:tcMar>
          </w:tcPr>
          <w:p>
            <w:pPr>
              <w:spacing w:after="40" w:before="20" w:line="245" w:lineRule="auto"/>
            </w:pPr>
            <w:r>
              <w:rPr>
                <w:sz w:val="18"/>
              </w:rPr>
              <w:t>A2/A3: cronología tipada</w:t>
            </w:r>
          </w:p>
        </w:tc>
        <w:tc>
          <w:tcPr>
            <w:tcW w:type="dxa" w:w="2948"/>
            <w:vAlign w:val="top"/>
            <w:tcMar>
              <w:top w:w="80" w:type="dxa"/>
              <w:left w:w="80" w:type="dxa"/>
              <w:bottom w:w="80" w:type="dxa"/>
              <w:right w:w="80" w:type="dxa"/>
            </w:tcMar>
          </w:tcPr>
          <w:p>
            <w:pPr>
              <w:spacing w:after="40" w:before="20" w:line="245" w:lineRule="auto"/>
            </w:pPr>
            <w:r>
              <w:rPr>
                <w:sz w:val="18"/>
              </w:rPr>
              <w:t>El parser escalar rellenaba huecos y confundía límites</w:t>
            </w:r>
          </w:p>
        </w:tc>
        <w:tc>
          <w:tcPr>
            <w:tcW w:type="dxa" w:w="3742"/>
            <w:vAlign w:val="top"/>
            <w:tcMar>
              <w:top w:w="80" w:type="dxa"/>
              <w:left w:w="80" w:type="dxa"/>
              <w:bottom w:w="80" w:type="dxa"/>
              <w:right w:w="80" w:type="dxa"/>
            </w:tcMar>
          </w:tcPr>
          <w:p>
            <w:pPr>
              <w:spacing w:after="40" w:before="20" w:line="245" w:lineRule="auto"/>
            </w:pPr>
            <w:r>
              <w:rPr>
                <w:sz w:val="18"/>
              </w:rPr>
              <w:t>Contratos y pruebas de R05; no equivalen a duración taxonómica ni a auditoría científica total.</w:t>
            </w:r>
          </w:p>
        </w:tc>
      </w:tr>
      <w:tr>
        <w:trPr>
          <w:cantSplit/>
        </w:trPr>
        <w:tc>
          <w:tcPr>
            <w:tcW w:type="dxa" w:w="2835"/>
            <w:vAlign w:val="top"/>
            <w:tcMar>
              <w:top w:w="80" w:type="dxa"/>
              <w:left w:w="80" w:type="dxa"/>
              <w:bottom w:w="80" w:type="dxa"/>
              <w:right w:w="80" w:type="dxa"/>
            </w:tcMar>
          </w:tcPr>
          <w:p>
            <w:pPr>
              <w:spacing w:after="40" w:before="20" w:line="245" w:lineRule="auto"/>
            </w:pPr>
            <w:r>
              <w:rPr>
                <w:sz w:val="18"/>
              </w:rPr>
              <w:t>Fases 1-3: kadabba, galerías y mapas</w:t>
            </w:r>
          </w:p>
        </w:tc>
        <w:tc>
          <w:tcPr>
            <w:tcW w:type="dxa" w:w="2948"/>
            <w:vAlign w:val="top"/>
            <w:tcMar>
              <w:top w:w="80" w:type="dxa"/>
              <w:left w:w="80" w:type="dxa"/>
              <w:bottom w:w="80" w:type="dxa"/>
              <w:right w:w="80" w:type="dxa"/>
            </w:tcMar>
          </w:tcPr>
          <w:p>
            <w:pPr>
              <w:spacing w:after="40" w:before="20" w:line="245" w:lineRule="auto"/>
            </w:pPr>
            <w:r>
              <w:rPr>
                <w:sz w:val="18"/>
              </w:rPr>
              <w:t>Imagen ajena, 34 divergencias y contexto regional presentado como distribución</w:t>
            </w:r>
          </w:p>
        </w:tc>
        <w:tc>
          <w:tcPr>
            <w:tcW w:type="dxa" w:w="3742"/>
            <w:vAlign w:val="top"/>
            <w:tcMar>
              <w:top w:w="80" w:type="dxa"/>
              <w:left w:w="80" w:type="dxa"/>
              <w:bottom w:w="80" w:type="dxa"/>
              <w:right w:w="80" w:type="dxa"/>
            </w:tcMar>
          </w:tcPr>
          <w:p>
            <w:pPr>
              <w:spacing w:after="40" w:before="20" w:line="245" w:lineRule="auto"/>
            </w:pPr>
            <w:r>
              <w:rPr>
                <w:sz w:val="18"/>
              </w:rPr>
              <w:t>Correcciones locales y pruebas de funciones; revisar todos los consumidores y medios.</w:t>
            </w:r>
          </w:p>
        </w:tc>
      </w:tr>
      <w:tr>
        <w:trPr>
          <w:cantSplit/>
        </w:trPr>
        <w:tc>
          <w:tcPr>
            <w:tcW w:type="dxa" w:w="2835"/>
            <w:vAlign w:val="top"/>
            <w:tcMar>
              <w:top w:w="80" w:type="dxa"/>
              <w:left w:w="80" w:type="dxa"/>
              <w:bottom w:w="80" w:type="dxa"/>
              <w:right w:w="80" w:type="dxa"/>
            </w:tcMar>
          </w:tcPr>
          <w:p>
            <w:pPr>
              <w:spacing w:after="40" w:before="20" w:line="245" w:lineRule="auto"/>
            </w:pPr>
            <w:r>
              <w:rPr>
                <w:sz w:val="18"/>
              </w:rPr>
              <w:t>Fase 4: etiquetas y confianza</w:t>
            </w:r>
          </w:p>
        </w:tc>
        <w:tc>
          <w:tcPr>
            <w:tcW w:type="dxa" w:w="2948"/>
            <w:vAlign w:val="top"/>
            <w:tcMar>
              <w:top w:w="80" w:type="dxa"/>
              <w:left w:w="80" w:type="dxa"/>
              <w:bottom w:w="80" w:type="dxa"/>
              <w:right w:w="80" w:type="dxa"/>
            </w:tcMar>
          </w:tcPr>
          <w:p>
            <w:pPr>
              <w:spacing w:after="40" w:before="20" w:line="245" w:lineRule="auto"/>
            </w:pPr>
            <w:r>
              <w:rPr>
                <w:sz w:val="18"/>
              </w:rPr>
              <w:t>Holotipo, isótopos, aceptación y DOI se inferían automáticamente</w:t>
            </w:r>
          </w:p>
        </w:tc>
        <w:tc>
          <w:tcPr>
            <w:tcW w:type="dxa" w:w="3742"/>
            <w:vAlign w:val="top"/>
            <w:tcMar>
              <w:top w:w="80" w:type="dxa"/>
              <w:left w:w="80" w:type="dxa"/>
              <w:bottom w:w="80" w:type="dxa"/>
              <w:right w:w="80" w:type="dxa"/>
            </w:tcMar>
          </w:tcPr>
          <w:p>
            <w:pPr>
              <w:spacing w:after="40" w:before="20" w:line="245" w:lineRule="auto"/>
            </w:pPr>
            <w:r>
              <w:rPr>
                <w:sz w:val="18"/>
              </w:rPr>
              <w:t>Se retiraron atribuciones automáticas; siguen pendientes verificaciones individuales.</w:t>
            </w:r>
          </w:p>
        </w:tc>
      </w:tr>
      <w:tr>
        <w:trPr>
          <w:cantSplit/>
        </w:trPr>
        <w:tc>
          <w:tcPr>
            <w:tcW w:type="dxa" w:w="2835"/>
            <w:vAlign w:val="top"/>
            <w:tcMar>
              <w:top w:w="80" w:type="dxa"/>
              <w:left w:w="80" w:type="dxa"/>
              <w:bottom w:w="80" w:type="dxa"/>
              <w:right w:w="80" w:type="dxa"/>
            </w:tcMar>
          </w:tcPr>
          <w:p>
            <w:pPr>
              <w:spacing w:after="40" w:before="20" w:line="245" w:lineRule="auto"/>
            </w:pPr>
            <w:r>
              <w:rPr>
                <w:sz w:val="18"/>
              </w:rPr>
              <w:t>Fase 6: cinco fichas duplicadas</w:t>
            </w:r>
          </w:p>
        </w:tc>
        <w:tc>
          <w:tcPr>
            <w:tcW w:type="dxa" w:w="2948"/>
            <w:vAlign w:val="top"/>
            <w:tcMar>
              <w:top w:w="80" w:type="dxa"/>
              <w:left w:w="80" w:type="dxa"/>
              <w:bottom w:w="80" w:type="dxa"/>
              <w:right w:w="80" w:type="dxa"/>
            </w:tcMar>
          </w:tcPr>
          <w:p>
            <w:pPr>
              <w:spacing w:after="40" w:before="20" w:line="245" w:lineRule="auto"/>
            </w:pPr>
            <w:r>
              <w:rPr>
                <w:sz w:val="18"/>
              </w:rPr>
              <w:t>DB y catálogo contenían versiones narrativas distintas</w:t>
            </w:r>
          </w:p>
        </w:tc>
        <w:tc>
          <w:tcPr>
            <w:tcW w:type="dxa" w:w="3742"/>
            <w:vAlign w:val="top"/>
            <w:tcMar>
              <w:top w:w="80" w:type="dxa"/>
              <w:left w:w="80" w:type="dxa"/>
              <w:bottom w:w="80" w:type="dxa"/>
              <w:right w:w="80" w:type="dxa"/>
            </w:tcMar>
          </w:tcPr>
          <w:p>
            <w:pPr>
              <w:spacing w:after="40" w:before="20" w:line="245" w:lineRule="auto"/>
            </w:pPr>
            <w:r>
              <w:rPr>
                <w:sz w:val="18"/>
              </w:rPr>
              <w:t>Cotejo actual confirma igualdad en fase 7/R98, salvo representación de mapa excluida.</w:t>
            </w:r>
          </w:p>
        </w:tc>
      </w:tr>
      <w:tr>
        <w:trPr>
          <w:cantSplit/>
        </w:trPr>
        <w:tc>
          <w:tcPr>
            <w:tcW w:type="dxa" w:w="2835"/>
            <w:vAlign w:val="top"/>
            <w:tcMar>
              <w:top w:w="80" w:type="dxa"/>
              <w:left w:w="80" w:type="dxa"/>
              <w:bottom w:w="80" w:type="dxa"/>
              <w:right w:w="80" w:type="dxa"/>
            </w:tcMar>
          </w:tcPr>
          <w:p>
            <w:pPr>
              <w:spacing w:after="40" w:before="20" w:line="245" w:lineRule="auto"/>
            </w:pPr>
            <w:r>
              <w:rPr>
                <w:sz w:val="18"/>
              </w:rPr>
              <w:t>Fase 7: cargador y estados</w:t>
            </w:r>
          </w:p>
        </w:tc>
        <w:tc>
          <w:tcPr>
            <w:tcW w:type="dxa" w:w="2948"/>
            <w:vAlign w:val="top"/>
            <w:tcMar>
              <w:top w:w="80" w:type="dxa"/>
              <w:left w:w="80" w:type="dxa"/>
              <w:bottom w:w="80" w:type="dxa"/>
              <w:right w:w="80" w:type="dxa"/>
            </w:tcMar>
          </w:tcPr>
          <w:p>
            <w:pPr>
              <w:spacing w:after="40" w:before="20" w:line="245" w:lineRule="auto"/>
            </w:pPr>
            <w:r>
              <w:rPr>
                <w:sz w:val="18"/>
              </w:rPr>
              <w:t>Un error de módulo podía dejar ready y varios estados no se mostraban bien</w:t>
            </w:r>
          </w:p>
        </w:tc>
        <w:tc>
          <w:tcPr>
            <w:tcW w:type="dxa" w:w="3742"/>
            <w:vAlign w:val="top"/>
            <w:tcMar>
              <w:top w:w="80" w:type="dxa"/>
              <w:left w:w="80" w:type="dxa"/>
              <w:bottom w:w="80" w:type="dxa"/>
              <w:right w:w="80" w:type="dxa"/>
            </w:tcMar>
          </w:tcPr>
          <w:p>
            <w:pPr>
              <w:spacing w:after="40" w:before="20" w:line="245" w:lineRule="auto"/>
            </w:pPr>
            <w:r>
              <w:rPr>
                <w:sz w:val="18"/>
              </w:rPr>
              <w:t>Se ensayó carga completa/error y etiquetas. El ensayo DOM/Moodle sigue pendiente.</w:t>
            </w:r>
          </w:p>
        </w:tc>
      </w:tr>
      <w:tr>
        <w:trPr>
          <w:cantSplit/>
        </w:trPr>
        <w:tc>
          <w:tcPr>
            <w:tcW w:type="dxa" w:w="2835"/>
            <w:vAlign w:val="top"/>
            <w:tcMar>
              <w:top w:w="80" w:type="dxa"/>
              <w:left w:w="80" w:type="dxa"/>
              <w:bottom w:w="80" w:type="dxa"/>
              <w:right w:w="80" w:type="dxa"/>
            </w:tcMar>
          </w:tcPr>
          <w:p>
            <w:pPr>
              <w:spacing w:after="40" w:before="20" w:line="245" w:lineRule="auto"/>
            </w:pPr>
            <w:r>
              <w:rPr>
                <w:sz w:val="18"/>
              </w:rPr>
              <w:t>v11 y piloto: formato directo</w:t>
            </w:r>
          </w:p>
        </w:tc>
        <w:tc>
          <w:tcPr>
            <w:tcW w:type="dxa" w:w="2948"/>
            <w:vAlign w:val="top"/>
            <w:tcMar>
              <w:top w:w="80" w:type="dxa"/>
              <w:left w:w="80" w:type="dxa"/>
              <w:bottom w:w="80" w:type="dxa"/>
              <w:right w:w="80" w:type="dxa"/>
            </w:tcMar>
          </w:tcPr>
          <w:p>
            <w:pPr>
              <w:spacing w:after="40" w:before="20" w:line="245" w:lineRule="auto"/>
            </w:pPr>
            <w:r>
              <w:rPr>
                <w:sz w:val="18"/>
              </w:rPr>
              <w:t>Dificultad del flujo multiarchivo y necesidad de diagnóstico</w:t>
            </w:r>
          </w:p>
        </w:tc>
        <w:tc>
          <w:tcPr>
            <w:tcW w:type="dxa" w:w="3742"/>
            <w:vAlign w:val="top"/>
            <w:tcMar>
              <w:top w:w="80" w:type="dxa"/>
              <w:left w:w="80" w:type="dxa"/>
              <w:bottom w:w="80" w:type="dxa"/>
              <w:right w:w="80" w:type="dxa"/>
            </w:tcMar>
          </w:tcPr>
          <w:p>
            <w:pPr>
              <w:spacing w:after="40" w:before="20" w:line="245" w:lineRule="auto"/>
            </w:pPr>
            <w:r>
              <w:rPr>
                <w:sz w:val="18"/>
              </w:rPr>
              <w:t>Estructura y sintaxis; no se acredita por ello funcionamiento en el curso.</w:t>
            </w:r>
          </w:p>
        </w:tc>
      </w:tr>
    </w:tbl>
    <w:p>
      <w:pPr>
        <w:spacing w:after="40"/>
      </w:pPr>
    </w:p>
    <w:p>
      <w:r>
        <w:t>En esta sesión se contrastaron estas razones y los archivos seleccionados. Las baterías históricas de 660, 504 u otros totales se citan como resultados archivados con su alcance, sin sumarlas ni presentarlas como una batería reejecutada. [E03-E12]</w:t>
      </w:r>
    </w:p>
    <w:p>
      <w:r>
        <w:br w:type="page"/>
      </w:r>
    </w:p>
    <w:p>
      <w:pPr>
        <w:pStyle w:val="Heading1"/>
      </w:pPr>
      <w:r>
        <w:t>6. Pendientes científicos y didácticos que no deben perderse</w:t>
      </w:r>
    </w:p>
    <w:p>
      <w:pPr>
        <w:pStyle w:val="Heading2"/>
      </w:pPr>
      <w:r>
        <w:t>Entidades, tiempo y evidencia</w:t>
      </w:r>
    </w:p>
    <w:p>
      <w:r>
        <w:t>El catálogo mezcla entidades documentales distintas. Un espécimen, un linaje y una especie no son intercambiables. Deben conservarse los 50 identificadores para no romper enlaces, mientras se explicita el tipo de entidad y el estado de revisión. Los 43 registros sin campo estado no deben convertirse en aceptados por un valor predeterminado.</w:t>
      </w:r>
    </w:p>
    <w:p>
      <w:r>
        <w:t>La cronología necesita diferenciar estimación puntual, edad mínima, ventana publicada, alternativas e indeterminación. Penghu no admite rellenar el hueco entre sus ventanas alternativas. Una edad mínima o un punto tampoco autoriza una barra de ocupación. Las vistas, filtros, coexistencias, preguntas y exportaciones deben preservar esa semántica. [E04, E05, E09]</w:t>
      </w:r>
    </w:p>
    <w:p>
      <w:pPr>
        <w:pStyle w:val="Heading2"/>
      </w:pPr>
      <w:r>
        <w:t>Afirmaciones, referencias y cartografía</w:t>
      </w:r>
    </w:p>
    <w:p>
      <w:r>
        <w:t>Las 121 referencias base y las referencias adicionales requieren vínculos por afirmación. La igualdad entre DB y catálogo demuestra consistencia interna, pero deja abierta la exactitud de la anatomía, dieta, capacidad craneal, industria, comportamiento y atribución taxonómica. El número de referencias y la forma de un DOI no justifican una puntuación de confianza.</w:t>
      </w:r>
    </w:p>
    <w:p>
      <w:r>
        <w:t>Mantener una etiqueta neutral de material/localidad cuando no se haya verificado la tipificación. El artículo 73 del ICZN es pertinente para comprobar cómo se fija un tipo, sin convertir un campo heredado en una prueba nomenclatural. [E09, E13]</w:t>
      </w:r>
    </w:p>
    <w:p>
      <w:r>
        <w:t>Los 15 fondos regionales y las 50 coordenadas requieren fuente y precisión individuales. Conservar el contexto territorial explícito resulta útil; dibujar una distribución o una ruta de dispersión exige evidencia adicional. El cladograma histórico 46/50 requiere revisar o explicar las cuatro ausencias, con independencia del número de fichas. [E03, E09]</w:t>
      </w:r>
    </w:p>
    <w:p>
      <w:pPr>
        <w:pStyle w:val="Heading2"/>
      </w:pPr>
      <w:r>
        <w:t>Actualización focal comprobada</w:t>
      </w:r>
    </w:p>
    <w:p>
      <w:r>
        <w:t>Se localizaron en Nature los dos artículos de Bianfu incorporados en fase 6. El resumen público de Ruan et al. distingue fósiles de unos 167-134 ka y una secuencia cultural de unos 190-70 ka, atribuida de forma interpretativa. Esta distinción respalda conservar la cautela del proyecto; no cierra el examen de métodos, suplementos ni de todas las vistas. [E13]</w:t>
      </w:r>
    </w:p>
    <w:p>
      <w:pPr>
        <w:pStyle w:val="Heading2"/>
      </w:pPr>
      <w:r>
        <w:t>Criterio docente</w:t>
      </w:r>
    </w:p>
    <w:p>
      <w:r>
        <w:t>Conservar contenido y herramientas que permitan comparar pruebas, justificar atribuciones y entender incertidumbres. Revisar primero las afirmaciones que generan preguntas evaluables y salidas gráficas: un error propagado a la evaluación tiene un efecto distinto del de una errata en una nota auxiliar. [PB-06 a PB-14, PB-24 y PB-25]</w:t>
      </w:r>
    </w:p>
    <w:p>
      <w:r>
        <w:br w:type="page"/>
      </w:r>
    </w:p>
    <w:p>
      <w:pPr>
        <w:pStyle w:val="Heading1"/>
      </w:pPr>
      <w:r>
        <w:t>7. Nuevo hallazgo: una protección oculta recursos de su propia ficha</w:t>
      </w:r>
    </w:p>
    <w:p>
      <w:r>
        <w:t>Se reprodujo un conflicto del módulo 066-paleobot-v81-map-and-species-media-repair.js. Su lista de nombres asociados históricamente a imágenes genéricas se aplica también al recurso documentado de la ficha correspondiente. El módulo se conserva sin cambios en el HTML piloto R98. [PB-01; E11-E12]</w:t>
      </w:r>
    </w:p>
    <w:tbl>
      <w:tblPr>
        <w:tblW w:type="auto" w:w="0"/>
        <w:jc w:val="center"/>
        <w:tblLayout w:type="fixed"/>
        <w:tblLook w:firstColumn="1" w:firstRow="1" w:lastColumn="0" w:lastRow="0" w:noHBand="0" w:noVBand="1" w:val="04A0"/>
      </w:tblPr>
      <w:tblGrid>
        <w:gridCol w:w="1701"/>
        <w:gridCol w:w="4535"/>
        <w:gridCol w:w="3288"/>
      </w:tblGrid>
      <w:tr>
        <w:trPr>
          <w:tblHeader/>
          <w:cantSplit/>
        </w:trPr>
        <w:tc>
          <w:tcPr>
            <w:tcW w:type="dxa" w:w="1701"/>
            <w:shd w:fill="E7EFF0"/>
            <w:tcMar>
              <w:top w:w="80" w:type="dxa"/>
              <w:left w:w="80" w:type="dxa"/>
              <w:bottom w:w="80" w:type="dxa"/>
              <w:right w:w="80" w:type="dxa"/>
            </w:tcMar>
          </w:tcPr>
          <w:p>
            <w:pPr>
              <w:spacing w:after="40" w:before="20" w:line="245" w:lineRule="auto"/>
            </w:pPr>
            <w:r>
              <w:rPr>
                <w:b/>
                <w:color w:val="173E48"/>
                <w:sz w:val="18"/>
              </w:rPr>
              <w:t>Ficha</w:t>
            </w:r>
          </w:p>
        </w:tc>
        <w:tc>
          <w:tcPr>
            <w:tcW w:type="dxa" w:w="4535"/>
            <w:shd w:fill="E7EFF0"/>
            <w:tcMar>
              <w:top w:w="80" w:type="dxa"/>
              <w:left w:w="80" w:type="dxa"/>
              <w:bottom w:w="80" w:type="dxa"/>
              <w:right w:w="80" w:type="dxa"/>
            </w:tcMar>
          </w:tcPr>
          <w:p>
            <w:pPr>
              <w:spacing w:after="40" w:before="20" w:line="245" w:lineRule="auto"/>
            </w:pPr>
            <w:r>
              <w:rPr>
                <w:b/>
                <w:color w:val="173E48"/>
                <w:sz w:val="18"/>
              </w:rPr>
              <w:t>Recurso admitido en el expediente</w:t>
            </w:r>
          </w:p>
        </w:tc>
        <w:tc>
          <w:tcPr>
            <w:tcW w:type="dxa" w:w="3288"/>
            <w:shd w:fill="E7EFF0"/>
            <w:tcMar>
              <w:top w:w="80" w:type="dxa"/>
              <w:left w:w="80" w:type="dxa"/>
              <w:bottom w:w="80" w:type="dxa"/>
              <w:right w:w="80" w:type="dxa"/>
            </w:tcMar>
          </w:tcPr>
          <w:p>
            <w:pPr>
              <w:spacing w:after="40" w:before="20" w:line="245" w:lineRule="auto"/>
            </w:pPr>
            <w:r>
              <w:rPr>
                <w:b/>
                <w:color w:val="173E48"/>
                <w:sz w:val="18"/>
              </w:rPr>
              <w:t>Resultado aislado</w:t>
            </w:r>
          </w:p>
        </w:tc>
      </w:tr>
      <w:tr>
        <w:trPr>
          <w:cantSplit/>
        </w:trPr>
        <w:tc>
          <w:tcPr>
            <w:tcW w:type="dxa" w:w="1701"/>
            <w:vAlign w:val="top"/>
            <w:tcMar>
              <w:top w:w="80" w:type="dxa"/>
              <w:left w:w="80" w:type="dxa"/>
              <w:bottom w:w="80" w:type="dxa"/>
              <w:right w:w="80" w:type="dxa"/>
            </w:tcMar>
          </w:tcPr>
          <w:p>
            <w:pPr>
              <w:spacing w:after="40" w:before="20" w:line="245" w:lineRule="auto"/>
            </w:pPr>
            <w:r>
              <w:rPr>
                <w:sz w:val="18"/>
              </w:rPr>
              <w:t>proconsul</w:t>
            </w:r>
          </w:p>
        </w:tc>
        <w:tc>
          <w:tcPr>
            <w:tcW w:type="dxa" w:w="4535"/>
            <w:vAlign w:val="top"/>
            <w:tcMar>
              <w:top w:w="80" w:type="dxa"/>
              <w:left w:w="80" w:type="dxa"/>
              <w:bottom w:w="80" w:type="dxa"/>
              <w:right w:w="80" w:type="dxa"/>
            </w:tcMar>
          </w:tcPr>
          <w:p>
            <w:pPr>
              <w:spacing w:after="40" w:before="20" w:line="245" w:lineRule="auto"/>
            </w:pPr>
            <w:r>
              <w:rPr>
                <w:sz w:val="18"/>
              </w:rPr>
              <w:t>Proconsul_heseloni_Tubingen.jpg</w:t>
            </w:r>
          </w:p>
        </w:tc>
        <w:tc>
          <w:tcPr>
            <w:tcW w:type="dxa" w:w="3288"/>
            <w:vAlign w:val="top"/>
            <w:tcMar>
              <w:top w:w="80" w:type="dxa"/>
              <w:left w:w="80" w:type="dxa"/>
              <w:bottom w:w="80" w:type="dxa"/>
              <w:right w:w="80" w:type="dxa"/>
            </w:tcMar>
          </w:tcPr>
          <w:p>
            <w:pPr>
              <w:spacing w:after="40" w:before="20" w:line="245" w:lineRule="auto"/>
            </w:pPr>
            <w:r>
              <w:rPr>
                <w:sz w:val="18"/>
              </w:rPr>
              <w:t>Sustituido por tarjeta sin imagen</w:t>
            </w:r>
          </w:p>
        </w:tc>
      </w:tr>
      <w:tr>
        <w:trPr>
          <w:cantSplit/>
        </w:trPr>
        <w:tc>
          <w:tcPr>
            <w:tcW w:type="dxa" w:w="1701"/>
            <w:vAlign w:val="top"/>
            <w:tcMar>
              <w:top w:w="80" w:type="dxa"/>
              <w:left w:w="80" w:type="dxa"/>
              <w:bottom w:w="80" w:type="dxa"/>
              <w:right w:w="80" w:type="dxa"/>
            </w:tcMar>
          </w:tcPr>
          <w:p>
            <w:pPr>
              <w:spacing w:after="40" w:before="20" w:line="245" w:lineRule="auto"/>
            </w:pPr>
            <w:r>
              <w:rPr>
                <w:sz w:val="18"/>
              </w:rPr>
              <w:t>boisei</w:t>
            </w:r>
          </w:p>
        </w:tc>
        <w:tc>
          <w:tcPr>
            <w:tcW w:type="dxa" w:w="4535"/>
            <w:vAlign w:val="top"/>
            <w:tcMar>
              <w:top w:w="80" w:type="dxa"/>
              <w:left w:w="80" w:type="dxa"/>
              <w:bottom w:w="80" w:type="dxa"/>
              <w:right w:w="80" w:type="dxa"/>
            </w:tcMar>
          </w:tcPr>
          <w:p>
            <w:pPr>
              <w:spacing w:after="40" w:before="20" w:line="245" w:lineRule="auto"/>
            </w:pPr>
            <w:r>
              <w:rPr>
                <w:sz w:val="18"/>
              </w:rPr>
              <w:t>Paranthropus_boisei_skull.jpg</w:t>
            </w:r>
          </w:p>
        </w:tc>
        <w:tc>
          <w:tcPr>
            <w:tcW w:type="dxa" w:w="3288"/>
            <w:vAlign w:val="top"/>
            <w:tcMar>
              <w:top w:w="80" w:type="dxa"/>
              <w:left w:w="80" w:type="dxa"/>
              <w:bottom w:w="80" w:type="dxa"/>
              <w:right w:w="80" w:type="dxa"/>
            </w:tcMar>
          </w:tcPr>
          <w:p>
            <w:pPr>
              <w:spacing w:after="40" w:before="20" w:line="245" w:lineRule="auto"/>
            </w:pPr>
            <w:r>
              <w:rPr>
                <w:sz w:val="18"/>
              </w:rPr>
              <w:t>Sustituido por tarjeta sin imagen</w:t>
            </w:r>
          </w:p>
        </w:tc>
      </w:tr>
      <w:tr>
        <w:trPr>
          <w:cantSplit/>
        </w:trPr>
        <w:tc>
          <w:tcPr>
            <w:tcW w:type="dxa" w:w="1701"/>
            <w:vAlign w:val="top"/>
            <w:tcMar>
              <w:top w:w="80" w:type="dxa"/>
              <w:left w:w="80" w:type="dxa"/>
              <w:bottom w:w="80" w:type="dxa"/>
              <w:right w:w="80" w:type="dxa"/>
            </w:tcMar>
          </w:tcPr>
          <w:p>
            <w:pPr>
              <w:spacing w:after="40" w:before="20" w:line="245" w:lineRule="auto"/>
            </w:pPr>
            <w:r>
              <w:rPr>
                <w:sz w:val="18"/>
              </w:rPr>
              <w:t>soloensis</w:t>
            </w:r>
          </w:p>
        </w:tc>
        <w:tc>
          <w:tcPr>
            <w:tcW w:type="dxa" w:w="4535"/>
            <w:vAlign w:val="top"/>
            <w:tcMar>
              <w:top w:w="80" w:type="dxa"/>
              <w:left w:w="80" w:type="dxa"/>
              <w:bottom w:w="80" w:type="dxa"/>
              <w:right w:w="80" w:type="dxa"/>
            </w:tcMar>
          </w:tcPr>
          <w:p>
            <w:pPr>
              <w:spacing w:after="40" w:before="20" w:line="245" w:lineRule="auto"/>
            </w:pPr>
            <w:r>
              <w:rPr>
                <w:sz w:val="18"/>
              </w:rPr>
              <w:t>Ngandong_14._Homo_erectus.jpg</w:t>
            </w:r>
          </w:p>
        </w:tc>
        <w:tc>
          <w:tcPr>
            <w:tcW w:type="dxa" w:w="3288"/>
            <w:vAlign w:val="top"/>
            <w:tcMar>
              <w:top w:w="80" w:type="dxa"/>
              <w:left w:w="80" w:type="dxa"/>
              <w:bottom w:w="80" w:type="dxa"/>
              <w:right w:w="80" w:type="dxa"/>
            </w:tcMar>
          </w:tcPr>
          <w:p>
            <w:pPr>
              <w:spacing w:after="40" w:before="20" w:line="245" w:lineRule="auto"/>
            </w:pPr>
            <w:r>
              <w:rPr>
                <w:sz w:val="18"/>
              </w:rPr>
              <w:t>Sustituido por tarjeta sin imagen</w:t>
            </w:r>
          </w:p>
        </w:tc>
      </w:tr>
    </w:tbl>
    <w:p>
      <w:pPr>
        <w:spacing w:after="40"/>
      </w:pPr>
    </w:p>
    <w:p>
      <w:pPr>
        <w:pStyle w:val="Heading2"/>
      </w:pPr>
      <w:r>
        <w:t>Recorrido causal comprobado</w:t>
      </w:r>
    </w:p>
    <w:p>
      <w:r>
        <w:t>repairSpeciesImages localiza la ficha y llama a shouldReplaceNow. Esta función comprueba GENERIC_FALLBACK_RE sobre la URL. Cuando coincide, asigna uniqueSpeciesSvg y cambia el texto alternativo a Sin imagen verificada. El nombre de un archivo no distingue si se está usando como reserva para otro taxón o como recurso documental de su propia ficha.</w:t>
      </w:r>
    </w:p>
    <w:p>
      <w:pPr>
        <w:pStyle w:val="Heading2"/>
      </w:pPr>
      <w:r>
        <w:t>Ensayo y límites</w:t>
      </w:r>
    </w:p>
    <w:p>
      <w:r>
        <w:t>Se ejecutó el módulo original con 47 URL del expediente visual y un control de mapa en un DOM simulado. Tres recursos cambiaron a SVG; 44 conservaron su URL; el mapa conservó su exclusión. La fuente ensayada tiene SHA-256 72f59642fdbf4b1eca60ea71a7f55896fccea849da5f569a8013e5647624dc42.</w:t>
      </w:r>
    </w:p>
    <w:p>
      <w:r>
        <w:t>La prueba demuestra la decisión del módulo y su asignación de imagen en el entorno aislado. No demuestra cómo termina la composición completa de todos los observadores, ni que esta sea la causa única de las imágenes fallidas en Moodle. La consulta directa v11 no carga este módulo.</w:t>
      </w:r>
    </w:p>
    <w:p>
      <w:pPr>
        <w:pStyle w:val="Heading2"/>
      </w:pPr>
      <w:r>
        <w:t>Cambio propuesto y riesgo de equivocarse</w:t>
      </w:r>
    </w:p>
    <w:p>
      <w:r>
        <w:t>Distinguir explícitamente recurso canónico y reserva, usando identidad de ficha y procedencia. Evitar borrar el módulo completo: protege contra fotografías de otros taxones y separa mapas. Si el cambio admite cualquier imagen por parecer canónica, podría reintroducir sustituciones engañosas; si mantiene la prohibición global, seguirá ocultando material documentado.</w:t>
      </w:r>
    </w:p>
    <w:p>
      <w:r>
        <w:t>Cierre requerido: preservar estos tres recursos, rechazar una imagen ajena, mantener aviso neutral ante error, respetar mapas y comprobar 47 fichas en navegador/Moodle. La corrección no se ha aplicado en esta revisión. El expediente incorpora un ensayo autónomo reproducible con Node. [E12]</w:t>
      </w:r>
    </w:p>
    <w:p>
      <w:r>
        <w:br w:type="page"/>
      </w:r>
    </w:p>
    <w:p>
      <w:pPr>
        <w:pStyle w:val="Heading1"/>
      </w:pPr>
      <w:r>
        <w:t>8. Qué falta comprobar en Moodle</w:t>
      </w:r>
    </w:p>
    <w:p>
      <w:r>
        <w:t>Los antecedentes recuperados sitúan en el entorno real fallos de carga y botones, mientras el diagnóstico mínimo funcionó y la entrada ligera recibió confirmaciones hasta v9. Este contraste es útil para diseñar la reproducción, pero no adjudica por sí solo una causa. [E01]</w:t>
      </w:r>
    </w:p>
    <w:tbl>
      <w:tblPr>
        <w:tblW w:type="auto" w:w="0"/>
        <w:jc w:val="center"/>
        <w:tblLayout w:type="fixed"/>
        <w:tblLook w:firstColumn="1" w:firstRow="1" w:lastColumn="0" w:lastRow="0" w:noHBand="0" w:noVBand="1" w:val="04A0"/>
      </w:tblPr>
      <w:tblGrid>
        <w:gridCol w:w="2268"/>
        <w:gridCol w:w="3969"/>
        <w:gridCol w:w="3288"/>
      </w:tblGrid>
      <w:tr>
        <w:trPr>
          <w:tblHeader/>
          <w:cantSplit/>
        </w:trPr>
        <w:tc>
          <w:tcPr>
            <w:tcW w:type="dxa" w:w="2268"/>
            <w:shd w:fill="E7EFF0"/>
            <w:tcMar>
              <w:top w:w="80" w:type="dxa"/>
              <w:left w:w="80" w:type="dxa"/>
              <w:bottom w:w="80" w:type="dxa"/>
              <w:right w:w="80" w:type="dxa"/>
            </w:tcMar>
          </w:tcPr>
          <w:p>
            <w:pPr>
              <w:spacing w:after="40" w:before="20" w:line="245" w:lineRule="auto"/>
            </w:pPr>
            <w:r>
              <w:rPr>
                <w:b/>
                <w:color w:val="173E48"/>
                <w:sz w:val="18"/>
              </w:rPr>
              <w:t>Posible explicación</w:t>
            </w:r>
          </w:p>
        </w:tc>
        <w:tc>
          <w:tcPr>
            <w:tcW w:type="dxa" w:w="3969"/>
            <w:shd w:fill="E7EFF0"/>
            <w:tcMar>
              <w:top w:w="80" w:type="dxa"/>
              <w:left w:w="80" w:type="dxa"/>
              <w:bottom w:w="80" w:type="dxa"/>
              <w:right w:w="80" w:type="dxa"/>
            </w:tcMar>
          </w:tcPr>
          <w:p>
            <w:pPr>
              <w:spacing w:after="40" w:before="20" w:line="245" w:lineRule="auto"/>
            </w:pPr>
            <w:r>
              <w:rPr>
                <w:b/>
                <w:color w:val="173E48"/>
                <w:sz w:val="18"/>
              </w:rPr>
              <w:t>Evidencia necesaria</w:t>
            </w:r>
          </w:p>
        </w:tc>
        <w:tc>
          <w:tcPr>
            <w:tcW w:type="dxa" w:w="3288"/>
            <w:shd w:fill="E7EFF0"/>
            <w:tcMar>
              <w:top w:w="80" w:type="dxa"/>
              <w:left w:w="80" w:type="dxa"/>
              <w:bottom w:w="80" w:type="dxa"/>
              <w:right w:w="80" w:type="dxa"/>
            </w:tcMar>
          </w:tcPr>
          <w:p>
            <w:pPr>
              <w:spacing w:after="40" w:before="20" w:line="245" w:lineRule="auto"/>
            </w:pPr>
            <w:r>
              <w:rPr>
                <w:b/>
                <w:color w:val="173E48"/>
                <w:sz w:val="18"/>
              </w:rPr>
              <w:t>Decisión que permitiría</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Restricción de scripts o estilos</w:t>
            </w:r>
          </w:p>
        </w:tc>
        <w:tc>
          <w:tcPr>
            <w:tcW w:type="dxa" w:w="3969"/>
            <w:vAlign w:val="top"/>
            <w:tcMar>
              <w:top w:w="80" w:type="dxa"/>
              <w:left w:w="80" w:type="dxa"/>
              <w:bottom w:w="80" w:type="dxa"/>
              <w:right w:w="80" w:type="dxa"/>
            </w:tcMar>
          </w:tcPr>
          <w:p>
            <w:pPr>
              <w:spacing w:after="40" w:before="20" w:line="245" w:lineRule="auto"/>
            </w:pPr>
            <w:r>
              <w:rPr>
                <w:sz w:val="18"/>
              </w:rPr>
              <w:t>Cabeceras efectivas, infracción y bloque afectado</w:t>
            </w:r>
          </w:p>
        </w:tc>
        <w:tc>
          <w:tcPr>
            <w:tcW w:type="dxa" w:w="3288"/>
            <w:vAlign w:val="top"/>
            <w:tcMar>
              <w:top w:w="80" w:type="dxa"/>
              <w:left w:w="80" w:type="dxa"/>
              <w:bottom w:w="80" w:type="dxa"/>
              <w:right w:w="80" w:type="dxa"/>
            </w:tcMar>
          </w:tcPr>
          <w:p>
            <w:pPr>
              <w:spacing w:after="40" w:before="20" w:line="245" w:lineRule="auto"/>
            </w:pPr>
            <w:r>
              <w:rPr>
                <w:sz w:val="18"/>
              </w:rPr>
              <w:t>Ajustar empaquetado o política mínima del recurso</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Ruta o configuración del recurso</w:t>
            </w:r>
          </w:p>
        </w:tc>
        <w:tc>
          <w:tcPr>
            <w:tcW w:type="dxa" w:w="3969"/>
            <w:vAlign w:val="top"/>
            <w:tcMar>
              <w:top w:w="80" w:type="dxa"/>
              <w:left w:w="80" w:type="dxa"/>
              <w:bottom w:w="80" w:type="dxa"/>
              <w:right w:w="80" w:type="dxa"/>
            </w:tcMar>
          </w:tcPr>
          <w:p>
            <w:pPr>
              <w:spacing w:after="40" w:before="20" w:line="245" w:lineRule="auto"/>
            </w:pPr>
            <w:r>
              <w:rPr>
                <w:sz w:val="18"/>
              </w:rPr>
              <w:t>Archivo principal, URL final, respuesta y contexto de apertura</w:t>
            </w:r>
          </w:p>
        </w:tc>
        <w:tc>
          <w:tcPr>
            <w:tcW w:type="dxa" w:w="3288"/>
            <w:vAlign w:val="top"/>
            <w:tcMar>
              <w:top w:w="80" w:type="dxa"/>
              <w:left w:w="80" w:type="dxa"/>
              <w:bottom w:w="80" w:type="dxa"/>
              <w:right w:w="80" w:type="dxa"/>
            </w:tcMar>
          </w:tcPr>
          <w:p>
            <w:pPr>
              <w:spacing w:after="40" w:before="20" w:line="245" w:lineRule="auto"/>
            </w:pPr>
            <w:r>
              <w:rPr>
                <w:sz w:val="18"/>
              </w:rPr>
              <w:t>Corregir la entrada o la ruta que falla</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Interferencia de eventos/estado</w:t>
            </w:r>
          </w:p>
        </w:tc>
        <w:tc>
          <w:tcPr>
            <w:tcW w:type="dxa" w:w="3969"/>
            <w:vAlign w:val="top"/>
            <w:tcMar>
              <w:top w:w="80" w:type="dxa"/>
              <w:left w:w="80" w:type="dxa"/>
              <w:bottom w:w="80" w:type="dxa"/>
              <w:right w:w="80" w:type="dxa"/>
            </w:tcMar>
          </w:tcPr>
          <w:p>
            <w:pPr>
              <w:spacing w:after="40" w:before="20" w:line="245" w:lineRule="auto"/>
            </w:pPr>
            <w:r>
              <w:rPr>
                <w:sz w:val="18"/>
              </w:rPr>
              <w:t>Secuencia y transición antes/después con consola</w:t>
            </w:r>
          </w:p>
        </w:tc>
        <w:tc>
          <w:tcPr>
            <w:tcW w:type="dxa" w:w="3288"/>
            <w:vAlign w:val="top"/>
            <w:tcMar>
              <w:top w:w="80" w:type="dxa"/>
              <w:left w:w="80" w:type="dxa"/>
              <w:bottom w:w="80" w:type="dxa"/>
              <w:right w:w="80" w:type="dxa"/>
            </w:tcMar>
          </w:tcPr>
          <w:p>
            <w:pPr>
              <w:spacing w:after="40" w:before="20" w:line="245" w:lineRule="auto"/>
            </w:pPr>
            <w:r>
              <w:rPr>
                <w:sz w:val="18"/>
              </w:rPr>
              <w:t>Retirar o corregir el propietario que interfiere</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Imagen o tesela remota</w:t>
            </w:r>
          </w:p>
        </w:tc>
        <w:tc>
          <w:tcPr>
            <w:tcW w:type="dxa" w:w="3969"/>
            <w:vAlign w:val="top"/>
            <w:tcMar>
              <w:top w:w="80" w:type="dxa"/>
              <w:left w:w="80" w:type="dxa"/>
              <w:bottom w:w="80" w:type="dxa"/>
              <w:right w:w="80" w:type="dxa"/>
            </w:tcMar>
          </w:tcPr>
          <w:p>
            <w:pPr>
              <w:spacing w:after="40" w:before="20" w:line="245" w:lineRule="auto"/>
            </w:pPr>
            <w:r>
              <w:rPr>
                <w:sz w:val="18"/>
              </w:rPr>
              <w:t>URL solicitada, estado de carga y error de política/red</w:t>
            </w:r>
          </w:p>
        </w:tc>
        <w:tc>
          <w:tcPr>
            <w:tcW w:type="dxa" w:w="3288"/>
            <w:vAlign w:val="top"/>
            <w:tcMar>
              <w:top w:w="80" w:type="dxa"/>
              <w:left w:w="80" w:type="dxa"/>
              <w:bottom w:w="80" w:type="dxa"/>
              <w:right w:w="80" w:type="dxa"/>
            </w:tcMar>
          </w:tcPr>
          <w:p>
            <w:pPr>
              <w:spacing w:after="40" w:before="20" w:line="245" w:lineRule="auto"/>
            </w:pPr>
            <w:r>
              <w:rPr>
                <w:sz w:val="18"/>
              </w:rPr>
              <w:t>Reparar URL, incorporar activo autorizado o dar alternativa</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Defecto del código multimedia</w:t>
            </w:r>
          </w:p>
        </w:tc>
        <w:tc>
          <w:tcPr>
            <w:tcW w:type="dxa" w:w="3969"/>
            <w:vAlign w:val="top"/>
            <w:tcMar>
              <w:top w:w="80" w:type="dxa"/>
              <w:left w:w="80" w:type="dxa"/>
              <w:bottom w:w="80" w:type="dxa"/>
              <w:right w:w="80" w:type="dxa"/>
            </w:tcMar>
          </w:tcPr>
          <w:p>
            <w:pPr>
              <w:spacing w:after="40" w:before="20" w:line="245" w:lineRule="auto"/>
            </w:pPr>
            <w:r>
              <w:rPr>
                <w:sz w:val="18"/>
              </w:rPr>
              <w:t>Prueba del recurso canónico y su sustitución</w:t>
            </w:r>
          </w:p>
        </w:tc>
        <w:tc>
          <w:tcPr>
            <w:tcW w:type="dxa" w:w="3288"/>
            <w:vAlign w:val="top"/>
            <w:tcMar>
              <w:top w:w="80" w:type="dxa"/>
              <w:left w:w="80" w:type="dxa"/>
              <w:bottom w:w="80" w:type="dxa"/>
              <w:right w:w="80" w:type="dxa"/>
            </w:tcMar>
          </w:tcPr>
          <w:p>
            <w:pPr>
              <w:spacing w:after="40" w:before="20" w:line="245" w:lineRule="auto"/>
            </w:pPr>
            <w:r>
              <w:rPr>
                <w:sz w:val="18"/>
              </w:rPr>
              <w:t>Corregir la clasificación o el orden de reparación</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Dependencia diferida fallida</w:t>
            </w:r>
          </w:p>
        </w:tc>
        <w:tc>
          <w:tcPr>
            <w:tcW w:type="dxa" w:w="3969"/>
            <w:vAlign w:val="top"/>
            <w:tcMar>
              <w:top w:w="80" w:type="dxa"/>
              <w:left w:w="80" w:type="dxa"/>
              <w:bottom w:w="80" w:type="dxa"/>
              <w:right w:w="80" w:type="dxa"/>
            </w:tcMar>
          </w:tcPr>
          <w:p>
            <w:pPr>
              <w:spacing w:after="40" w:before="20" w:line="245" w:lineRule="auto"/>
            </w:pPr>
            <w:r>
              <w:rPr>
                <w:sz w:val="18"/>
              </w:rPr>
              <w:t>Estado ready/failed, recurso y error</w:t>
            </w:r>
          </w:p>
        </w:tc>
        <w:tc>
          <w:tcPr>
            <w:tcW w:type="dxa" w:w="3288"/>
            <w:vAlign w:val="top"/>
            <w:tcMar>
              <w:top w:w="80" w:type="dxa"/>
              <w:left w:w="80" w:type="dxa"/>
              <w:bottom w:w="80" w:type="dxa"/>
              <w:right w:w="80" w:type="dxa"/>
            </w:tcMar>
          </w:tcPr>
          <w:p>
            <w:pPr>
              <w:spacing w:after="40" w:before="20" w:line="245" w:lineRule="auto"/>
            </w:pPr>
            <w:r>
              <w:rPr>
                <w:sz w:val="18"/>
              </w:rPr>
              <w:t>Conservar error observable y reparar la dependencia</w:t>
            </w:r>
          </w:p>
        </w:tc>
      </w:tr>
    </w:tbl>
    <w:p>
      <w:pPr>
        <w:spacing w:after="40"/>
      </w:pPr>
    </w:p>
    <w:p>
      <w:pPr>
        <w:pStyle w:val="Heading2"/>
      </w:pPr>
      <w:r>
        <w:t>Una prueba de destino acotada</w:t>
      </w:r>
    </w:p>
    <w:p>
      <w:pPr>
        <w:pStyle w:val="ListBullet"/>
      </w:pPr>
      <w:r>
        <w:t>Fijar el HTML y su hash, navegador, actividad y modo de apertura. Conservar la referencia de retorno antes de sustituir el recurso.</w:t>
      </w:r>
    </w:p>
    <w:p>
      <w:pPr>
        <w:pStyle w:val="ListBullet"/>
      </w:pPr>
      <w:r>
        <w:t>Abrir portada, buscar una ficha, volver, cambiar de vista y usar teclado. Registrar la primera transición fallida y sus errores.</w:t>
      </w:r>
    </w:p>
    <w:p>
      <w:pPr>
        <w:pStyle w:val="ListBullet"/>
      </w:pPr>
      <w:r>
        <w:t>En v11, ejecutar Probar tres imágenes y conservar cargadas, fallidas, en curso y aviso de política. Revisar otras fichas y el comportamiento al fallar un recurso.</w:t>
      </w:r>
    </w:p>
    <w:p>
      <w:pPr>
        <w:pStyle w:val="ListBullet"/>
      </w:pPr>
      <w:r>
        <w:t>En el Atlas, comprobar cronología, mapas, filogenia, comparador, bibliografía y modo clase; después revisar foco, modales y lectura accesible.</w:t>
      </w:r>
    </w:p>
    <w:p>
      <w:pPr>
        <w:pStyle w:val="ListBullet"/>
      </w:pPr>
      <w:r>
        <w:t>Si se elige SCORM, probar inicialización, guardado, reapertura y finalización. El formato Archivo no acredita seguimiento LMS.</w:t>
      </w:r>
    </w:p>
    <w:p>
      <w:r>
        <w:t>En A3 C6.4.2 se conserva el orden de puertas ya fijado: retorno de navegador, después accesibilidad manual/lector y Moodle, sin promoción automática entre ellas. No se ha accedido al curso institucional ni se han cambiado sus permisos, cabeceras o actividades. [E06, E09-E11]</w:t>
      </w:r>
    </w:p>
    <w:p>
      <w:r>
        <w:br w:type="page"/>
      </w:r>
    </w:p>
    <w:p>
      <w:pPr>
        <w:pStyle w:val="Heading1"/>
      </w:pPr>
      <w:r>
        <w:t>9. Qué conservar, qué retirar y qué aplazar</w:t>
      </w:r>
    </w:p>
    <w:tbl>
      <w:tblPr>
        <w:tblW w:type="auto" w:w="0"/>
        <w:jc w:val="center"/>
        <w:tblLayout w:type="fixed"/>
        <w:tblLook w:firstColumn="1" w:firstRow="1" w:lastColumn="0" w:lastRow="0" w:noHBand="0" w:noVBand="1" w:val="04A0"/>
      </w:tblPr>
      <w:tblGrid>
        <w:gridCol w:w="2041"/>
        <w:gridCol w:w="3628"/>
        <w:gridCol w:w="3855"/>
      </w:tblGrid>
      <w:tr>
        <w:trPr>
          <w:tblHeader/>
          <w:cantSplit/>
        </w:trPr>
        <w:tc>
          <w:tcPr>
            <w:tcW w:type="dxa" w:w="2041"/>
            <w:shd w:fill="E7EFF0"/>
            <w:tcMar>
              <w:top w:w="80" w:type="dxa"/>
              <w:left w:w="80" w:type="dxa"/>
              <w:bottom w:w="80" w:type="dxa"/>
              <w:right w:w="80" w:type="dxa"/>
            </w:tcMar>
          </w:tcPr>
          <w:p>
            <w:pPr>
              <w:spacing w:after="40" w:before="20" w:line="245" w:lineRule="auto"/>
            </w:pPr>
            <w:r>
              <w:rPr>
                <w:b/>
                <w:color w:val="173E48"/>
                <w:sz w:val="18"/>
              </w:rPr>
              <w:t>Tratamiento propuesto</w:t>
            </w:r>
          </w:p>
        </w:tc>
        <w:tc>
          <w:tcPr>
            <w:tcW w:type="dxa" w:w="3628"/>
            <w:shd w:fill="E7EFF0"/>
            <w:tcMar>
              <w:top w:w="80" w:type="dxa"/>
              <w:left w:w="80" w:type="dxa"/>
              <w:bottom w:w="80" w:type="dxa"/>
              <w:right w:w="80" w:type="dxa"/>
            </w:tcMar>
          </w:tcPr>
          <w:p>
            <w:pPr>
              <w:spacing w:after="40" w:before="20" w:line="245" w:lineRule="auto"/>
            </w:pPr>
            <w:r>
              <w:rPr>
                <w:b/>
                <w:color w:val="173E48"/>
                <w:sz w:val="18"/>
              </w:rPr>
              <w:t>Elementos</w:t>
            </w:r>
          </w:p>
        </w:tc>
        <w:tc>
          <w:tcPr>
            <w:tcW w:type="dxa" w:w="3855"/>
            <w:shd w:fill="E7EFF0"/>
            <w:tcMar>
              <w:top w:w="80" w:type="dxa"/>
              <w:left w:w="80" w:type="dxa"/>
              <w:bottom w:w="80" w:type="dxa"/>
              <w:right w:w="80" w:type="dxa"/>
            </w:tcMar>
          </w:tcPr>
          <w:p>
            <w:pPr>
              <w:spacing w:after="40" w:before="20" w:line="245" w:lineRule="auto"/>
            </w:pPr>
            <w:r>
              <w:rPr>
                <w:b/>
                <w:color w:val="173E48"/>
                <w:sz w:val="18"/>
              </w:rPr>
              <w:t>Razón y condición</w:t>
            </w:r>
          </w:p>
        </w:tc>
      </w:tr>
      <w:tr>
        <w:trPr>
          <w:cantSplit/>
        </w:trPr>
        <w:tc>
          <w:tcPr>
            <w:tcW w:type="dxa" w:w="2041"/>
            <w:vAlign w:val="top"/>
            <w:tcMar>
              <w:top w:w="80" w:type="dxa"/>
              <w:left w:w="80" w:type="dxa"/>
              <w:bottom w:w="80" w:type="dxa"/>
              <w:right w:w="80" w:type="dxa"/>
            </w:tcMar>
          </w:tcPr>
          <w:p>
            <w:pPr>
              <w:spacing w:after="40" w:before="20" w:line="245" w:lineRule="auto"/>
            </w:pPr>
            <w:r>
              <w:rPr>
                <w:sz w:val="18"/>
              </w:rPr>
              <w:t>Conservar</w:t>
            </w:r>
          </w:p>
        </w:tc>
        <w:tc>
          <w:tcPr>
            <w:tcW w:type="dxa" w:w="3628"/>
            <w:vAlign w:val="top"/>
            <w:tcMar>
              <w:top w:w="80" w:type="dxa"/>
              <w:left w:w="80" w:type="dxa"/>
              <w:bottom w:w="80" w:type="dxa"/>
              <w:right w:w="80" w:type="dxa"/>
            </w:tcMar>
          </w:tcPr>
          <w:p>
            <w:pPr>
              <w:spacing w:after="40" w:before="20" w:line="245" w:lineRule="auto"/>
            </w:pPr>
            <w:r>
              <w:rPr>
                <w:sz w:val="18"/>
              </w:rPr>
              <w:t>Catálogo de 50 fichas, IDs, cronología tipada y cautelas</w:t>
            </w:r>
          </w:p>
        </w:tc>
        <w:tc>
          <w:tcPr>
            <w:tcW w:type="dxa" w:w="3855"/>
            <w:vAlign w:val="top"/>
            <w:tcMar>
              <w:top w:w="80" w:type="dxa"/>
              <w:left w:w="80" w:type="dxa"/>
              <w:bottom w:w="80" w:type="dxa"/>
              <w:right w:w="80" w:type="dxa"/>
            </w:tcMar>
          </w:tcPr>
          <w:p>
            <w:pPr>
              <w:spacing w:after="40" w:before="20" w:line="245" w:lineRule="auto"/>
            </w:pPr>
            <w:r>
              <w:rPr>
                <w:sz w:val="18"/>
              </w:rPr>
              <w:t>Mantienen continuidad y evitan romper enlaces o reconstruir evidencia.</w:t>
            </w:r>
          </w:p>
        </w:tc>
      </w:tr>
      <w:tr>
        <w:trPr>
          <w:cantSplit/>
        </w:trPr>
        <w:tc>
          <w:tcPr>
            <w:tcW w:type="dxa" w:w="2041"/>
            <w:vAlign w:val="top"/>
            <w:tcMar>
              <w:top w:w="80" w:type="dxa"/>
              <w:left w:w="80" w:type="dxa"/>
              <w:bottom w:w="80" w:type="dxa"/>
              <w:right w:w="80" w:type="dxa"/>
            </w:tcMar>
          </w:tcPr>
          <w:p>
            <w:pPr>
              <w:spacing w:after="40" w:before="20" w:line="245" w:lineRule="auto"/>
            </w:pPr>
            <w:r>
              <w:rPr>
                <w:sz w:val="18"/>
              </w:rPr>
              <w:t>Conservar</w:t>
            </w:r>
          </w:p>
        </w:tc>
        <w:tc>
          <w:tcPr>
            <w:tcW w:type="dxa" w:w="3628"/>
            <w:vAlign w:val="top"/>
            <w:tcMar>
              <w:top w:w="80" w:type="dxa"/>
              <w:left w:w="80" w:type="dxa"/>
              <w:bottom w:w="80" w:type="dxa"/>
              <w:right w:w="80" w:type="dxa"/>
            </w:tcMar>
          </w:tcPr>
          <w:p>
            <w:pPr>
              <w:spacing w:after="40" w:before="20" w:line="245" w:lineRule="auto"/>
            </w:pPr>
            <w:r>
              <w:rPr>
                <w:sz w:val="18"/>
              </w:rPr>
              <w:t>Entrada ligera y contenido científico/didáctico útil</w:t>
            </w:r>
          </w:p>
        </w:tc>
        <w:tc>
          <w:tcPr>
            <w:tcW w:type="dxa" w:w="3855"/>
            <w:vAlign w:val="top"/>
            <w:tcMar>
              <w:top w:w="80" w:type="dxa"/>
              <w:left w:w="80" w:type="dxa"/>
              <w:bottom w:w="80" w:type="dxa"/>
              <w:right w:w="80" w:type="dxa"/>
            </w:tcMar>
          </w:tcPr>
          <w:p>
            <w:pPr>
              <w:spacing w:after="40" w:before="20" w:line="245" w:lineRule="auto"/>
            </w:pPr>
            <w:r>
              <w:rPr>
                <w:sz w:val="18"/>
              </w:rPr>
              <w:t>La confirmación recuperada y la petición de mayor riqueza justifican ampliar gradualmente.</w:t>
            </w:r>
          </w:p>
        </w:tc>
      </w:tr>
      <w:tr>
        <w:trPr>
          <w:cantSplit/>
        </w:trPr>
        <w:tc>
          <w:tcPr>
            <w:tcW w:type="dxa" w:w="2041"/>
            <w:vAlign w:val="top"/>
            <w:tcMar>
              <w:top w:w="80" w:type="dxa"/>
              <w:left w:w="80" w:type="dxa"/>
              <w:bottom w:w="80" w:type="dxa"/>
              <w:right w:w="80" w:type="dxa"/>
            </w:tcMar>
          </w:tcPr>
          <w:p>
            <w:pPr>
              <w:spacing w:after="40" w:before="20" w:line="245" w:lineRule="auto"/>
            </w:pPr>
            <w:r>
              <w:rPr>
                <w:sz w:val="18"/>
              </w:rPr>
              <w:t>Conservar</w:t>
            </w:r>
          </w:p>
        </w:tc>
        <w:tc>
          <w:tcPr>
            <w:tcW w:type="dxa" w:w="3628"/>
            <w:vAlign w:val="top"/>
            <w:tcMar>
              <w:top w:w="80" w:type="dxa"/>
              <w:left w:w="80" w:type="dxa"/>
              <w:bottom w:w="80" w:type="dxa"/>
              <w:right w:w="80" w:type="dxa"/>
            </w:tcMar>
          </w:tcPr>
          <w:p>
            <w:pPr>
              <w:spacing w:after="40" w:before="20" w:line="245" w:lineRule="auto"/>
            </w:pPr>
            <w:r>
              <w:rPr>
                <w:sz w:val="18"/>
              </w:rPr>
              <w:t>API v37 y reservas legítimas consumidas por otras capas</w:t>
            </w:r>
          </w:p>
        </w:tc>
        <w:tc>
          <w:tcPr>
            <w:tcW w:type="dxa" w:w="3855"/>
            <w:vAlign w:val="top"/>
            <w:tcMar>
              <w:top w:w="80" w:type="dxa"/>
              <w:left w:w="80" w:type="dxa"/>
              <w:bottom w:w="80" w:type="dxa"/>
              <w:right w:w="80" w:type="dxa"/>
            </w:tcMar>
          </w:tcPr>
          <w:p>
            <w:pPr>
              <w:spacing w:after="40" w:before="20" w:line="245" w:lineRule="auto"/>
            </w:pPr>
            <w:r>
              <w:rPr>
                <w:sz w:val="18"/>
              </w:rPr>
              <w:t>Retirar su captura global no autoriza borrar sus métodos.</w:t>
            </w:r>
          </w:p>
        </w:tc>
      </w:tr>
      <w:tr>
        <w:trPr>
          <w:cantSplit/>
        </w:trPr>
        <w:tc>
          <w:tcPr>
            <w:tcW w:type="dxa" w:w="2041"/>
            <w:vAlign w:val="top"/>
            <w:tcMar>
              <w:top w:w="80" w:type="dxa"/>
              <w:left w:w="80" w:type="dxa"/>
              <w:bottom w:w="80" w:type="dxa"/>
              <w:right w:w="80" w:type="dxa"/>
            </w:tcMar>
          </w:tcPr>
          <w:p>
            <w:pPr>
              <w:spacing w:after="40" w:before="20" w:line="245" w:lineRule="auto"/>
            </w:pPr>
            <w:r>
              <w:rPr>
                <w:sz w:val="18"/>
              </w:rPr>
              <w:t>Retirar o corregir</w:t>
            </w:r>
          </w:p>
        </w:tc>
        <w:tc>
          <w:tcPr>
            <w:tcW w:type="dxa" w:w="3628"/>
            <w:vAlign w:val="top"/>
            <w:tcMar>
              <w:top w:w="80" w:type="dxa"/>
              <w:left w:w="80" w:type="dxa"/>
              <w:bottom w:w="80" w:type="dxa"/>
              <w:right w:w="80" w:type="dxa"/>
            </w:tcMar>
          </w:tcPr>
          <w:p>
            <w:pPr>
              <w:spacing w:after="40" w:before="20" w:line="245" w:lineRule="auto"/>
            </w:pPr>
            <w:r>
              <w:rPr>
                <w:sz w:val="18"/>
              </w:rPr>
              <w:t>Falsas etiquetas de validación, holotipo universal, DOI verificado por formato y confianza sin evidencia</w:t>
            </w:r>
          </w:p>
        </w:tc>
        <w:tc>
          <w:tcPr>
            <w:tcW w:type="dxa" w:w="3855"/>
            <w:vAlign w:val="top"/>
            <w:tcMar>
              <w:top w:w="80" w:type="dxa"/>
              <w:left w:w="80" w:type="dxa"/>
              <w:bottom w:w="80" w:type="dxa"/>
              <w:right w:w="80" w:type="dxa"/>
            </w:tcMar>
          </w:tcPr>
          <w:p>
            <w:pPr>
              <w:spacing w:after="40" w:before="20" w:line="245" w:lineRule="auto"/>
            </w:pPr>
            <w:r>
              <w:rPr>
                <w:sz w:val="18"/>
              </w:rPr>
              <w:t>Atribuyen certeza que la comprobación no sostiene. Algunas ya están corregidas en superficies concretas.</w:t>
            </w:r>
          </w:p>
        </w:tc>
      </w:tr>
      <w:tr>
        <w:trPr>
          <w:cantSplit/>
        </w:trPr>
        <w:tc>
          <w:tcPr>
            <w:tcW w:type="dxa" w:w="2041"/>
            <w:vAlign w:val="top"/>
            <w:tcMar>
              <w:top w:w="80" w:type="dxa"/>
              <w:left w:w="80" w:type="dxa"/>
              <w:bottom w:w="80" w:type="dxa"/>
              <w:right w:w="80" w:type="dxa"/>
            </w:tcMar>
          </w:tcPr>
          <w:p>
            <w:pPr>
              <w:spacing w:after="40" w:before="20" w:line="245" w:lineRule="auto"/>
            </w:pPr>
            <w:r>
              <w:rPr>
                <w:sz w:val="18"/>
              </w:rPr>
              <w:t>Retirar o corregir</w:t>
            </w:r>
          </w:p>
        </w:tc>
        <w:tc>
          <w:tcPr>
            <w:tcW w:type="dxa" w:w="3628"/>
            <w:vAlign w:val="top"/>
            <w:tcMar>
              <w:top w:w="80" w:type="dxa"/>
              <w:left w:w="80" w:type="dxa"/>
              <w:bottom w:w="80" w:type="dxa"/>
              <w:right w:w="80" w:type="dxa"/>
            </w:tcMar>
          </w:tcPr>
          <w:p>
            <w:pPr>
              <w:spacing w:after="40" w:before="20" w:line="245" w:lineRule="auto"/>
            </w:pPr>
            <w:r>
              <w:rPr>
                <w:sz w:val="18"/>
              </w:rPr>
              <w:t>Sustituciones de una especie por otra y clasificador global de archivos genéricos</w:t>
            </w:r>
          </w:p>
        </w:tc>
        <w:tc>
          <w:tcPr>
            <w:tcW w:type="dxa" w:w="3855"/>
            <w:vAlign w:val="top"/>
            <w:tcMar>
              <w:top w:w="80" w:type="dxa"/>
              <w:left w:w="80" w:type="dxa"/>
              <w:bottom w:w="80" w:type="dxa"/>
              <w:right w:w="80" w:type="dxa"/>
            </w:tcMar>
          </w:tcPr>
          <w:p>
            <w:pPr>
              <w:spacing w:after="40" w:before="20" w:line="245" w:lineRule="auto"/>
            </w:pPr>
            <w:r>
              <w:rPr>
                <w:sz w:val="18"/>
              </w:rPr>
              <w:t>Dañan la identidad visual; mantener avisos neutros y una prueba que preserve recursos válidos.</w:t>
            </w:r>
          </w:p>
        </w:tc>
      </w:tr>
      <w:tr>
        <w:trPr>
          <w:cantSplit/>
        </w:trPr>
        <w:tc>
          <w:tcPr>
            <w:tcW w:type="dxa" w:w="2041"/>
            <w:vAlign w:val="top"/>
            <w:tcMar>
              <w:top w:w="80" w:type="dxa"/>
              <w:left w:w="80" w:type="dxa"/>
              <w:bottom w:w="80" w:type="dxa"/>
              <w:right w:w="80" w:type="dxa"/>
            </w:tcMar>
          </w:tcPr>
          <w:p>
            <w:pPr>
              <w:spacing w:after="40" w:before="20" w:line="245" w:lineRule="auto"/>
            </w:pPr>
            <w:r>
              <w:rPr>
                <w:sz w:val="18"/>
              </w:rPr>
              <w:t>Retirar del paquete de uso</w:t>
            </w:r>
          </w:p>
        </w:tc>
        <w:tc>
          <w:tcPr>
            <w:tcW w:type="dxa" w:w="3628"/>
            <w:vAlign w:val="top"/>
            <w:tcMar>
              <w:top w:w="80" w:type="dxa"/>
              <w:left w:w="80" w:type="dxa"/>
              <w:bottom w:w="80" w:type="dxa"/>
              <w:right w:w="80" w:type="dxa"/>
            </w:tcMar>
          </w:tcPr>
          <w:p>
            <w:pPr>
              <w:spacing w:after="40" w:before="20" w:line="245" w:lineRule="auto"/>
            </w:pPr>
            <w:r>
              <w:rPr>
                <w:sz w:val="18"/>
              </w:rPr>
              <w:t>Kits, informes y ZIP ancestrales que no ejecuta el producto</w:t>
            </w:r>
          </w:p>
        </w:tc>
        <w:tc>
          <w:tcPr>
            <w:tcW w:type="dxa" w:w="3855"/>
            <w:vAlign w:val="top"/>
            <w:tcMar>
              <w:top w:w="80" w:type="dxa"/>
              <w:left w:w="80" w:type="dxa"/>
              <w:bottom w:w="80" w:type="dxa"/>
              <w:right w:w="80" w:type="dxa"/>
            </w:tcMar>
          </w:tcPr>
          <w:p>
            <w:pPr>
              <w:spacing w:after="40" w:before="20" w:line="245" w:lineRule="auto"/>
            </w:pPr>
            <w:r>
              <w:rPr>
                <w:sz w:val="18"/>
              </w:rPr>
              <w:t>Conservarlos en el expediente histórico con hashes; no borrarlos ni confundirlos con el runtime.</w:t>
            </w:r>
          </w:p>
        </w:tc>
      </w:tr>
      <w:tr>
        <w:trPr>
          <w:cantSplit/>
        </w:trPr>
        <w:tc>
          <w:tcPr>
            <w:tcW w:type="dxa" w:w="2041"/>
            <w:vAlign w:val="top"/>
            <w:tcMar>
              <w:top w:w="80" w:type="dxa"/>
              <w:left w:w="80" w:type="dxa"/>
              <w:bottom w:w="80" w:type="dxa"/>
              <w:right w:w="80" w:type="dxa"/>
            </w:tcMar>
          </w:tcPr>
          <w:p>
            <w:pPr>
              <w:spacing w:after="40" w:before="20" w:line="245" w:lineRule="auto"/>
            </w:pPr>
            <w:r>
              <w:rPr>
                <w:sz w:val="18"/>
              </w:rPr>
              <w:t>Retirar como procedimiento</w:t>
            </w:r>
          </w:p>
        </w:tc>
        <w:tc>
          <w:tcPr>
            <w:tcW w:type="dxa" w:w="3628"/>
            <w:vAlign w:val="top"/>
            <w:tcMar>
              <w:top w:w="80" w:type="dxa"/>
              <w:left w:w="80" w:type="dxa"/>
              <w:bottom w:w="80" w:type="dxa"/>
              <w:right w:w="80" w:type="dxa"/>
            </w:tcMar>
          </w:tcPr>
          <w:p>
            <w:pPr>
              <w:spacing w:after="40" w:before="20" w:line="245" w:lineRule="auto"/>
            </w:pPr>
            <w:r>
              <w:rPr>
                <w:sz w:val="18"/>
              </w:rPr>
              <w:t>Descarga indiscriminada de 102 candidatas y relajación general de CSP</w:t>
            </w:r>
          </w:p>
        </w:tc>
        <w:tc>
          <w:tcPr>
            <w:tcW w:type="dxa" w:w="3855"/>
            <w:vAlign w:val="top"/>
            <w:tcMar>
              <w:top w:w="80" w:type="dxa"/>
              <w:left w:w="80" w:type="dxa"/>
              <w:bottom w:w="80" w:type="dxa"/>
              <w:right w:w="80" w:type="dxa"/>
            </w:tcMar>
          </w:tcPr>
          <w:p>
            <w:pPr>
              <w:spacing w:after="40" w:before="20" w:line="245" w:lineRule="auto"/>
            </w:pPr>
            <w:r>
              <w:rPr>
                <w:sz w:val="18"/>
              </w:rPr>
              <w:t>No resuelven por sí solas identidad, permisos o causa del fallo.</w:t>
            </w:r>
          </w:p>
        </w:tc>
      </w:tr>
      <w:tr>
        <w:trPr>
          <w:cantSplit/>
        </w:trPr>
        <w:tc>
          <w:tcPr>
            <w:tcW w:type="dxa" w:w="2041"/>
            <w:vAlign w:val="top"/>
            <w:tcMar>
              <w:top w:w="80" w:type="dxa"/>
              <w:left w:w="80" w:type="dxa"/>
              <w:bottom w:w="80" w:type="dxa"/>
              <w:right w:w="80" w:type="dxa"/>
            </w:tcMar>
          </w:tcPr>
          <w:p>
            <w:pPr>
              <w:spacing w:after="40" w:before="20" w:line="245" w:lineRule="auto"/>
            </w:pPr>
            <w:r>
              <w:rPr>
                <w:sz w:val="18"/>
              </w:rPr>
              <w:t>Aplazar</w:t>
            </w:r>
          </w:p>
        </w:tc>
        <w:tc>
          <w:tcPr>
            <w:tcW w:type="dxa" w:w="3628"/>
            <w:vAlign w:val="top"/>
            <w:tcMar>
              <w:top w:w="80" w:type="dxa"/>
              <w:left w:w="80" w:type="dxa"/>
              <w:bottom w:w="80" w:type="dxa"/>
              <w:right w:w="80" w:type="dxa"/>
            </w:tcMar>
          </w:tcPr>
          <w:p>
            <w:pPr>
              <w:spacing w:after="40" w:before="20" w:line="245" w:lineRule="auto"/>
            </w:pPr>
            <w:r>
              <w:rPr>
                <w:sz w:val="18"/>
              </w:rPr>
              <w:t>Revelado científico inmersivo y diálogo web fusionado</w:t>
            </w:r>
          </w:p>
        </w:tc>
        <w:tc>
          <w:tcPr>
            <w:tcW w:type="dxa" w:w="3855"/>
            <w:vAlign w:val="top"/>
            <w:tcMar>
              <w:top w:w="80" w:type="dxa"/>
              <w:left w:w="80" w:type="dxa"/>
              <w:bottom w:w="80" w:type="dxa"/>
              <w:right w:w="80" w:type="dxa"/>
            </w:tcMar>
          </w:tcPr>
          <w:p>
            <w:pPr>
              <w:spacing w:after="40" w:before="20" w:line="245" w:lineRule="auto"/>
            </w:pPr>
            <w:r>
              <w:rPr>
                <w:sz w:val="18"/>
              </w:rPr>
              <w:t>Faltan activos aprobados, validación externa y contrato de evidencia.</w:t>
            </w:r>
          </w:p>
        </w:tc>
      </w:tr>
      <w:tr>
        <w:trPr>
          <w:cantSplit/>
        </w:trPr>
        <w:tc>
          <w:tcPr>
            <w:tcW w:type="dxa" w:w="2041"/>
            <w:vAlign w:val="top"/>
            <w:tcMar>
              <w:top w:w="80" w:type="dxa"/>
              <w:left w:w="80" w:type="dxa"/>
              <w:bottom w:w="80" w:type="dxa"/>
              <w:right w:w="80" w:type="dxa"/>
            </w:tcMar>
          </w:tcPr>
          <w:p>
            <w:pPr>
              <w:spacing w:after="40" w:before="20" w:line="245" w:lineRule="auto"/>
            </w:pPr>
            <w:r>
              <w:rPr>
                <w:sz w:val="18"/>
              </w:rPr>
              <w:t>Descartar como dirección actual</w:t>
            </w:r>
          </w:p>
        </w:tc>
        <w:tc>
          <w:tcPr>
            <w:tcW w:type="dxa" w:w="3628"/>
            <w:vAlign w:val="top"/>
            <w:tcMar>
              <w:top w:w="80" w:type="dxa"/>
              <w:left w:w="80" w:type="dxa"/>
              <w:bottom w:w="80" w:type="dxa"/>
              <w:right w:w="80" w:type="dxa"/>
            </w:tcMar>
          </w:tcPr>
          <w:p>
            <w:pPr>
              <w:spacing w:after="40" w:before="20" w:line="245" w:lineRule="auto"/>
            </w:pPr>
            <w:r>
              <w:rPr>
                <w:sz w:val="18"/>
              </w:rPr>
              <w:t>Reescritura en React/Vite</w:t>
            </w:r>
          </w:p>
        </w:tc>
        <w:tc>
          <w:tcPr>
            <w:tcW w:type="dxa" w:w="3855"/>
            <w:vAlign w:val="top"/>
            <w:tcMar>
              <w:top w:w="80" w:type="dxa"/>
              <w:left w:w="80" w:type="dxa"/>
              <w:bottom w:w="80" w:type="dxa"/>
              <w:right w:w="80" w:type="dxa"/>
            </w:tcMar>
          </w:tcPr>
          <w:p>
            <w:pPr>
              <w:spacing w:after="40" w:before="20" w:line="245" w:lineRule="auto"/>
            </w:pPr>
            <w:r>
              <w:rPr>
                <w:sz w:val="18"/>
              </w:rPr>
              <w:t>La restricción previa y el diagnóstico disponible favorecen cambios focales en HTML/JS.</w:t>
            </w:r>
          </w:p>
        </w:tc>
      </w:tr>
    </w:tbl>
    <w:p>
      <w:pPr>
        <w:spacing w:after="40"/>
      </w:pPr>
    </w:p>
    <w:p>
      <w:r>
        <w:t>Retirar significa aquí una decisión propuesta sobre un componente o su papel, no una eliminación realizada. La retirada de funciones requiere identificar sus consumidores y la alternativa que asumirá su tarea. Los originales se conservan. [PB-14 a PB-23, PB-28 a PB-33]</w:t>
      </w:r>
    </w:p>
    <w:p>
      <w:r>
        <w:br w:type="page"/>
      </w:r>
    </w:p>
    <w:p>
      <w:pPr>
        <w:pStyle w:val="Heading1"/>
      </w:pPr>
      <w:r>
        <w:t>10. Qué añadir y en qué orden</w:t>
      </w:r>
    </w:p>
    <w:tbl>
      <w:tblPr>
        <w:tblW w:type="auto" w:w="0"/>
        <w:jc w:val="center"/>
        <w:tblLayout w:type="fixed"/>
        <w:tblLook w:firstColumn="1" w:firstRow="1" w:lastColumn="0" w:lastRow="0" w:noHBand="0" w:noVBand="1" w:val="04A0"/>
      </w:tblPr>
      <w:tblGrid>
        <w:gridCol w:w="1587"/>
        <w:gridCol w:w="3515"/>
        <w:gridCol w:w="4422"/>
      </w:tblGrid>
      <w:tr>
        <w:trPr>
          <w:tblHeader/>
          <w:cantSplit/>
        </w:trPr>
        <w:tc>
          <w:tcPr>
            <w:tcW w:type="dxa" w:w="1587"/>
            <w:shd w:fill="E7EFF0"/>
            <w:tcMar>
              <w:top w:w="80" w:type="dxa"/>
              <w:left w:w="80" w:type="dxa"/>
              <w:bottom w:w="80" w:type="dxa"/>
              <w:right w:w="80" w:type="dxa"/>
            </w:tcMar>
          </w:tcPr>
          <w:p>
            <w:pPr>
              <w:spacing w:after="40" w:before="20" w:line="245" w:lineRule="auto"/>
            </w:pPr>
            <w:r>
              <w:rPr>
                <w:b/>
                <w:color w:val="173E48"/>
                <w:sz w:val="18"/>
              </w:rPr>
              <w:t>Orden</w:t>
            </w:r>
          </w:p>
        </w:tc>
        <w:tc>
          <w:tcPr>
            <w:tcW w:type="dxa" w:w="3515"/>
            <w:shd w:fill="E7EFF0"/>
            <w:tcMar>
              <w:top w:w="80" w:type="dxa"/>
              <w:left w:w="80" w:type="dxa"/>
              <w:bottom w:w="80" w:type="dxa"/>
              <w:right w:w="80" w:type="dxa"/>
            </w:tcMar>
          </w:tcPr>
          <w:p>
            <w:pPr>
              <w:spacing w:after="40" w:before="20" w:line="245" w:lineRule="auto"/>
            </w:pPr>
            <w:r>
              <w:rPr>
                <w:b/>
                <w:color w:val="173E48"/>
                <w:sz w:val="18"/>
              </w:rPr>
              <w:t>Aportación propuesta</w:t>
            </w:r>
          </w:p>
        </w:tc>
        <w:tc>
          <w:tcPr>
            <w:tcW w:type="dxa" w:w="4422"/>
            <w:shd w:fill="E7EFF0"/>
            <w:tcMar>
              <w:top w:w="80" w:type="dxa"/>
              <w:left w:w="80" w:type="dxa"/>
              <w:bottom w:w="80" w:type="dxa"/>
              <w:right w:w="80" w:type="dxa"/>
            </w:tcMar>
          </w:tcPr>
          <w:p>
            <w:pPr>
              <w:spacing w:after="40" w:before="20" w:line="245" w:lineRule="auto"/>
            </w:pPr>
            <w:r>
              <w:rPr>
                <w:b/>
                <w:color w:val="173E48"/>
                <w:sz w:val="18"/>
              </w:rPr>
              <w:t>Resultado observable para cerrar el paso</w:t>
            </w:r>
          </w:p>
        </w:tc>
      </w:tr>
      <w:tr>
        <w:trPr>
          <w:cantSplit/>
        </w:trPr>
        <w:tc>
          <w:tcPr>
            <w:tcW w:type="dxa" w:w="1587"/>
            <w:vAlign w:val="top"/>
            <w:tcMar>
              <w:top w:w="80" w:type="dxa"/>
              <w:left w:w="80" w:type="dxa"/>
              <w:bottom w:w="80" w:type="dxa"/>
              <w:right w:w="80" w:type="dxa"/>
            </w:tcMar>
          </w:tcPr>
          <w:p>
            <w:pPr>
              <w:spacing w:after="40" w:before="20" w:line="245" w:lineRule="auto"/>
            </w:pPr>
            <w:r>
              <w:rPr>
                <w:sz w:val="18"/>
              </w:rPr>
              <w:t>1. Fijar la referencia</w:t>
            </w:r>
          </w:p>
        </w:tc>
        <w:tc>
          <w:tcPr>
            <w:tcW w:type="dxa" w:w="3515"/>
            <w:vAlign w:val="top"/>
            <w:tcMar>
              <w:top w:w="80" w:type="dxa"/>
              <w:left w:w="80" w:type="dxa"/>
              <w:bottom w:w="80" w:type="dxa"/>
              <w:right w:w="80" w:type="dxa"/>
            </w:tcMar>
          </w:tcPr>
          <w:p>
            <w:pPr>
              <w:spacing w:after="40" w:before="20" w:line="245" w:lineRule="auto"/>
            </w:pPr>
            <w:r>
              <w:rPr>
                <w:sz w:val="18"/>
              </w:rPr>
              <w:t>Una ficha de versión por rama: archivo/hash, datos, formato y pruebas</w:t>
            </w:r>
          </w:p>
        </w:tc>
        <w:tc>
          <w:tcPr>
            <w:tcW w:type="dxa" w:w="4422"/>
            <w:vAlign w:val="top"/>
            <w:tcMar>
              <w:top w:w="80" w:type="dxa"/>
              <w:left w:w="80" w:type="dxa"/>
              <w:bottom w:w="80" w:type="dxa"/>
              <w:right w:w="80" w:type="dxa"/>
            </w:tcMar>
          </w:tcPr>
          <w:p>
            <w:pPr>
              <w:spacing w:after="40" w:before="20" w:line="245" w:lineRule="auto"/>
            </w:pPr>
            <w:r>
              <w:rPr>
                <w:sz w:val="18"/>
              </w:rPr>
              <w:t>Se puede saber qué se probó y qué archivo debe restaurarse.</w:t>
            </w:r>
          </w:p>
        </w:tc>
      </w:tr>
      <w:tr>
        <w:trPr>
          <w:cantSplit/>
        </w:trPr>
        <w:tc>
          <w:tcPr>
            <w:tcW w:type="dxa" w:w="1587"/>
            <w:vAlign w:val="top"/>
            <w:tcMar>
              <w:top w:w="80" w:type="dxa"/>
              <w:left w:w="80" w:type="dxa"/>
              <w:bottom w:w="80" w:type="dxa"/>
              <w:right w:w="80" w:type="dxa"/>
            </w:tcMar>
          </w:tcPr>
          <w:p>
            <w:pPr>
              <w:spacing w:after="40" w:before="20" w:line="245" w:lineRule="auto"/>
            </w:pPr>
            <w:r>
              <w:rPr>
                <w:sz w:val="18"/>
              </w:rPr>
              <w:t>2. Resolver el conflicto demostrado</w:t>
            </w:r>
          </w:p>
        </w:tc>
        <w:tc>
          <w:tcPr>
            <w:tcW w:type="dxa" w:w="3515"/>
            <w:vAlign w:val="top"/>
            <w:tcMar>
              <w:top w:w="80" w:type="dxa"/>
              <w:left w:w="80" w:type="dxa"/>
              <w:bottom w:w="80" w:type="dxa"/>
              <w:right w:w="80" w:type="dxa"/>
            </w:tcMar>
          </w:tcPr>
          <w:p>
            <w:pPr>
              <w:spacing w:after="40" w:before="20" w:line="245" w:lineRule="auto"/>
            </w:pPr>
            <w:r>
              <w:rPr>
                <w:sz w:val="18"/>
              </w:rPr>
              <w:t>Corrección focal de la clasificación multimedia de 066</w:t>
            </w:r>
          </w:p>
        </w:tc>
        <w:tc>
          <w:tcPr>
            <w:tcW w:type="dxa" w:w="4422"/>
            <w:vAlign w:val="top"/>
            <w:tcMar>
              <w:top w:w="80" w:type="dxa"/>
              <w:left w:w="80" w:type="dxa"/>
              <w:bottom w:w="80" w:type="dxa"/>
              <w:right w:w="80" w:type="dxa"/>
            </w:tcMar>
          </w:tcPr>
          <w:p>
            <w:pPr>
              <w:spacing w:after="40" w:before="20" w:line="245" w:lineRule="auto"/>
            </w:pPr>
            <w:r>
              <w:rPr>
                <w:sz w:val="18"/>
              </w:rPr>
              <w:t>Los tres recursos se preservan y una reserva ajena sigue rechazándose.</w:t>
            </w:r>
          </w:p>
        </w:tc>
      </w:tr>
      <w:tr>
        <w:trPr>
          <w:cantSplit/>
        </w:trPr>
        <w:tc>
          <w:tcPr>
            <w:tcW w:type="dxa" w:w="1587"/>
            <w:vAlign w:val="top"/>
            <w:tcMar>
              <w:top w:w="80" w:type="dxa"/>
              <w:left w:w="80" w:type="dxa"/>
              <w:bottom w:w="80" w:type="dxa"/>
              <w:right w:w="80" w:type="dxa"/>
            </w:tcMar>
          </w:tcPr>
          <w:p>
            <w:pPr>
              <w:spacing w:after="40" w:before="20" w:line="245" w:lineRule="auto"/>
            </w:pPr>
            <w:r>
              <w:rPr>
                <w:sz w:val="18"/>
              </w:rPr>
              <w:t>3. Obtener evidencia del destino</w:t>
            </w:r>
          </w:p>
        </w:tc>
        <w:tc>
          <w:tcPr>
            <w:tcW w:type="dxa" w:w="3515"/>
            <w:vAlign w:val="top"/>
            <w:tcMar>
              <w:top w:w="80" w:type="dxa"/>
              <w:left w:w="80" w:type="dxa"/>
              <w:bottom w:w="80" w:type="dxa"/>
              <w:right w:w="80" w:type="dxa"/>
            </w:tcMar>
          </w:tcPr>
          <w:p>
            <w:pPr>
              <w:spacing w:after="40" w:before="20" w:line="245" w:lineRule="auto"/>
            </w:pPr>
            <w:r>
              <w:rPr>
                <w:sz w:val="18"/>
              </w:rPr>
              <w:t>Un retorno de Moodle/navegador del candidato elegido</w:t>
            </w:r>
          </w:p>
        </w:tc>
        <w:tc>
          <w:tcPr>
            <w:tcW w:type="dxa" w:w="4422"/>
            <w:vAlign w:val="top"/>
            <w:tcMar>
              <w:top w:w="80" w:type="dxa"/>
              <w:left w:w="80" w:type="dxa"/>
              <w:bottom w:w="80" w:type="dxa"/>
              <w:right w:w="80" w:type="dxa"/>
            </w:tcMar>
          </w:tcPr>
          <w:p>
            <w:pPr>
              <w:spacing w:after="40" w:before="20" w:line="245" w:lineRule="auto"/>
            </w:pPr>
            <w:r>
              <w:rPr>
                <w:sz w:val="18"/>
              </w:rPr>
              <w:t>Causa de carga, botón o imagen vinculada a una condición observada.</w:t>
            </w:r>
          </w:p>
        </w:tc>
      </w:tr>
      <w:tr>
        <w:trPr>
          <w:cantSplit/>
        </w:trPr>
        <w:tc>
          <w:tcPr>
            <w:tcW w:type="dxa" w:w="1587"/>
            <w:vAlign w:val="top"/>
            <w:tcMar>
              <w:top w:w="80" w:type="dxa"/>
              <w:left w:w="80" w:type="dxa"/>
              <w:bottom w:w="80" w:type="dxa"/>
              <w:right w:w="80" w:type="dxa"/>
            </w:tcMar>
          </w:tcPr>
          <w:p>
            <w:pPr>
              <w:spacing w:after="40" w:before="20" w:line="245" w:lineRule="auto"/>
            </w:pPr>
            <w:r>
              <w:rPr>
                <w:sz w:val="18"/>
              </w:rPr>
              <w:t>4. Completar la revisión científica</w:t>
            </w:r>
          </w:p>
        </w:tc>
        <w:tc>
          <w:tcPr>
            <w:tcW w:type="dxa" w:w="3515"/>
            <w:vAlign w:val="top"/>
            <w:tcMar>
              <w:top w:w="80" w:type="dxa"/>
              <w:left w:w="80" w:type="dxa"/>
              <w:bottom w:w="80" w:type="dxa"/>
              <w:right w:w="80" w:type="dxa"/>
            </w:tcMar>
          </w:tcPr>
          <w:p>
            <w:pPr>
              <w:spacing w:after="40" w:before="20" w:line="245" w:lineRule="auto"/>
            </w:pPr>
            <w:r>
              <w:rPr>
                <w:sz w:val="18"/>
              </w:rPr>
              <w:t>Matriz afirmación-fuente y catálogo de medios/localidades</w:t>
            </w:r>
          </w:p>
        </w:tc>
        <w:tc>
          <w:tcPr>
            <w:tcW w:type="dxa" w:w="4422"/>
            <w:vAlign w:val="top"/>
            <w:tcMar>
              <w:top w:w="80" w:type="dxa"/>
              <w:left w:w="80" w:type="dxa"/>
              <w:bottom w:w="80" w:type="dxa"/>
              <w:right w:w="80" w:type="dxa"/>
            </w:tcMar>
          </w:tcPr>
          <w:p>
            <w:pPr>
              <w:spacing w:after="40" w:before="20" w:line="245" w:lineRule="auto"/>
            </w:pPr>
            <w:r>
              <w:rPr>
                <w:sz w:val="18"/>
              </w:rPr>
              <w:t>Cada afirmación evaluable y cada activo tienen entidad, procedencia y estado.</w:t>
            </w:r>
          </w:p>
        </w:tc>
      </w:tr>
      <w:tr>
        <w:trPr>
          <w:cantSplit/>
        </w:trPr>
        <w:tc>
          <w:tcPr>
            <w:tcW w:type="dxa" w:w="1587"/>
            <w:vAlign w:val="top"/>
            <w:tcMar>
              <w:top w:w="80" w:type="dxa"/>
              <w:left w:w="80" w:type="dxa"/>
              <w:bottom w:w="80" w:type="dxa"/>
              <w:right w:w="80" w:type="dxa"/>
            </w:tcMar>
          </w:tcPr>
          <w:p>
            <w:pPr>
              <w:spacing w:after="40" w:before="20" w:line="245" w:lineRule="auto"/>
            </w:pPr>
            <w:r>
              <w:rPr>
                <w:sz w:val="18"/>
              </w:rPr>
              <w:t>5. Consolidar consumidores</w:t>
            </w:r>
          </w:p>
        </w:tc>
        <w:tc>
          <w:tcPr>
            <w:tcW w:type="dxa" w:w="3515"/>
            <w:vAlign w:val="top"/>
            <w:tcMar>
              <w:top w:w="80" w:type="dxa"/>
              <w:left w:w="80" w:type="dxa"/>
              <w:bottom w:w="80" w:type="dxa"/>
              <w:right w:w="80" w:type="dxa"/>
            </w:tcMar>
          </w:tcPr>
          <w:p>
            <w:pPr>
              <w:spacing w:after="40" w:before="20" w:line="245" w:lineRule="auto"/>
            </w:pPr>
            <w:r>
              <w:rPr>
                <w:sz w:val="18"/>
              </w:rPr>
              <w:t>Una política compartida de tiempo, estados y medios</w:t>
            </w:r>
          </w:p>
        </w:tc>
        <w:tc>
          <w:tcPr>
            <w:tcW w:type="dxa" w:w="4422"/>
            <w:vAlign w:val="top"/>
            <w:tcMar>
              <w:top w:w="80" w:type="dxa"/>
              <w:left w:w="80" w:type="dxa"/>
              <w:bottom w:w="80" w:type="dxa"/>
              <w:right w:w="80" w:type="dxa"/>
            </w:tcMar>
          </w:tcPr>
          <w:p>
            <w:pPr>
              <w:spacing w:after="40" w:before="20" w:line="245" w:lineRule="auto"/>
            </w:pPr>
            <w:r>
              <w:rPr>
                <w:sz w:val="18"/>
              </w:rPr>
              <w:t>Preguntas, gráficos y exportaciones no contradicen la ficha.</w:t>
            </w:r>
          </w:p>
        </w:tc>
      </w:tr>
      <w:tr>
        <w:trPr>
          <w:cantSplit/>
        </w:trPr>
        <w:tc>
          <w:tcPr>
            <w:tcW w:type="dxa" w:w="1587"/>
            <w:vAlign w:val="top"/>
            <w:tcMar>
              <w:top w:w="80" w:type="dxa"/>
              <w:left w:w="80" w:type="dxa"/>
              <w:bottom w:w="80" w:type="dxa"/>
              <w:right w:w="80" w:type="dxa"/>
            </w:tcMar>
          </w:tcPr>
          <w:p>
            <w:pPr>
              <w:spacing w:after="40" w:before="20" w:line="245" w:lineRule="auto"/>
            </w:pPr>
            <w:r>
              <w:rPr>
                <w:sz w:val="18"/>
              </w:rPr>
              <w:t>6. Recuperar funciones avanzadas</w:t>
            </w:r>
          </w:p>
        </w:tc>
        <w:tc>
          <w:tcPr>
            <w:tcW w:type="dxa" w:w="3515"/>
            <w:vAlign w:val="top"/>
            <w:tcMar>
              <w:top w:w="80" w:type="dxa"/>
              <w:left w:w="80" w:type="dxa"/>
              <w:bottom w:w="80" w:type="dxa"/>
              <w:right w:w="80" w:type="dxa"/>
            </w:tcMar>
          </w:tcPr>
          <w:p>
            <w:pPr>
              <w:spacing w:after="40" w:before="20" w:line="245" w:lineRule="auto"/>
            </w:pPr>
            <w:r>
              <w:rPr>
                <w:sz w:val="18"/>
              </w:rPr>
              <w:t>Módulos progresivos con tarea docente y alternativa accesible</w:t>
            </w:r>
          </w:p>
        </w:tc>
        <w:tc>
          <w:tcPr>
            <w:tcW w:type="dxa" w:w="4422"/>
            <w:vAlign w:val="top"/>
            <w:tcMar>
              <w:top w:w="80" w:type="dxa"/>
              <w:left w:w="80" w:type="dxa"/>
              <w:bottom w:w="80" w:type="dxa"/>
              <w:right w:w="80" w:type="dxa"/>
            </w:tcMar>
          </w:tcPr>
          <w:p>
            <w:pPr>
              <w:spacing w:after="40" w:before="20" w:line="245" w:lineRule="auto"/>
            </w:pPr>
            <w:r>
              <w:rPr>
                <w:sz w:val="18"/>
              </w:rPr>
              <w:t>Cada añadido aporta utilidad sin perder la consulta ni la estabilidad medida.</w:t>
            </w:r>
          </w:p>
        </w:tc>
      </w:tr>
      <w:tr>
        <w:trPr>
          <w:cantSplit/>
        </w:trPr>
        <w:tc>
          <w:tcPr>
            <w:tcW w:type="dxa" w:w="1587"/>
            <w:vAlign w:val="top"/>
            <w:tcMar>
              <w:top w:w="80" w:type="dxa"/>
              <w:left w:w="80" w:type="dxa"/>
              <w:bottom w:w="80" w:type="dxa"/>
              <w:right w:w="80" w:type="dxa"/>
            </w:tcMar>
          </w:tcPr>
          <w:p>
            <w:pPr>
              <w:spacing w:after="40" w:before="20" w:line="245" w:lineRule="auto"/>
            </w:pPr>
            <w:r>
              <w:rPr>
                <w:sz w:val="18"/>
              </w:rPr>
              <w:t>7. Ampliar con Lucy/Immersive</w:t>
            </w:r>
          </w:p>
        </w:tc>
        <w:tc>
          <w:tcPr>
            <w:tcW w:type="dxa" w:w="3515"/>
            <w:vAlign w:val="top"/>
            <w:tcMar>
              <w:top w:w="80" w:type="dxa"/>
              <w:left w:w="80" w:type="dxa"/>
              <w:bottom w:w="80" w:type="dxa"/>
              <w:right w:w="80" w:type="dxa"/>
            </w:tcMar>
          </w:tcPr>
          <w:p>
            <w:pPr>
              <w:spacing w:after="40" w:before="20" w:line="245" w:lineRule="auto"/>
            </w:pPr>
            <w:r>
              <w:rPr>
                <w:sz w:val="18"/>
              </w:rPr>
              <w:t>Casos enlazados, después diálogo o escenas con activos aprobados</w:t>
            </w:r>
          </w:p>
        </w:tc>
        <w:tc>
          <w:tcPr>
            <w:tcW w:type="dxa" w:w="4422"/>
            <w:vAlign w:val="top"/>
            <w:tcMar>
              <w:top w:w="80" w:type="dxa"/>
              <w:left w:w="80" w:type="dxa"/>
              <w:bottom w:w="80" w:type="dxa"/>
              <w:right w:w="80" w:type="dxa"/>
            </w:tcMar>
          </w:tcPr>
          <w:p>
            <w:pPr>
              <w:spacing w:after="40" w:before="20" w:line="245" w:lineRule="auto"/>
            </w:pPr>
            <w:r>
              <w:rPr>
                <w:sz w:val="18"/>
              </w:rPr>
              <w:t>La capa nueva conserva fuentes, incertidumbre y acceso equivalente.</w:t>
            </w:r>
          </w:p>
        </w:tc>
      </w:tr>
    </w:tbl>
    <w:p>
      <w:pPr>
        <w:spacing w:after="40"/>
      </w:pPr>
    </w:p>
    <w:p>
      <w:pPr>
        <w:pStyle w:val="Heading2"/>
      </w:pPr>
      <w:r>
        <w:t>Condiciones para ampliar</w:t>
      </w:r>
    </w:p>
    <w:p>
      <w:r>
        <w:t>No eliminar contenido para cumplir un presupuesto de carga sin examinar antes la presentación y el momento de activación. Las rutas, comparaciones y actividades pueden ofrecerse de forma progresiva. La ausencia de evidencia no se rellena con una imagen, un dato temporal o una respuesta de personaje sintético.</w:t>
      </w:r>
    </w:p>
    <w:p>
      <w:r>
        <w:t>Cada paso se cierra por una observación nueva o una corrección demostrada. Si falta el entorno que permitiría ejecutar una prueba, registrar el límite y preparar una sola transferencia aplicable; generar más expedientes con el mismo pendiente no cambia su estado. [PB-29 a PB-33]</w:t>
      </w:r>
    </w:p>
    <w:p>
      <w:pPr>
        <w:pStyle w:val="Heading2"/>
      </w:pPr>
      <w:r>
        <w:t>Roles propuestos</w:t>
      </w:r>
    </w:p>
    <w:p>
      <w:r>
        <w:t>Asignar revisión paleoantropológica para afirmaciones e identificaciones, revisión técnica para contratos y regresión, y revisión docente/accesible para la tarea de aprendizaje y el destino. No se asignan personas, plazos ni aprobaciones que no constan en la documentación.</w:t>
      </w:r>
    </w:p>
    <w:p>
      <w:r>
        <w:br w:type="page"/>
      </w:r>
    </w:p>
    <w:p>
      <w:pPr>
        <w:pStyle w:val="Heading1"/>
      </w:pPr>
      <w:r>
        <w:t>11. Qué puede romperse si la decisión es errónea</w:t>
      </w:r>
    </w:p>
    <w:tbl>
      <w:tblPr>
        <w:tblW w:type="auto" w:w="0"/>
        <w:jc w:val="center"/>
        <w:tblLayout w:type="fixed"/>
        <w:tblLook w:firstColumn="1" w:firstRow="1" w:lastColumn="0" w:lastRow="0" w:noHBand="0" w:noVBand="1" w:val="04A0"/>
      </w:tblPr>
      <w:tblGrid>
        <w:gridCol w:w="2268"/>
        <w:gridCol w:w="3685"/>
        <w:gridCol w:w="3572"/>
      </w:tblGrid>
      <w:tr>
        <w:trPr>
          <w:tblHeader/>
          <w:cantSplit/>
        </w:trPr>
        <w:tc>
          <w:tcPr>
            <w:tcW w:type="dxa" w:w="2268"/>
            <w:shd w:fill="E7EFF0"/>
            <w:tcMar>
              <w:top w:w="80" w:type="dxa"/>
              <w:left w:w="80" w:type="dxa"/>
              <w:bottom w:w="80" w:type="dxa"/>
              <w:right w:w="80" w:type="dxa"/>
            </w:tcMar>
          </w:tcPr>
          <w:p>
            <w:pPr>
              <w:spacing w:after="40" w:before="20" w:line="245" w:lineRule="auto"/>
            </w:pPr>
            <w:r>
              <w:rPr>
                <w:b/>
                <w:color w:val="173E48"/>
                <w:sz w:val="18"/>
              </w:rPr>
              <w:t>Error o condición</w:t>
            </w:r>
          </w:p>
        </w:tc>
        <w:tc>
          <w:tcPr>
            <w:tcW w:type="dxa" w:w="3685"/>
            <w:shd w:fill="E7EFF0"/>
            <w:tcMar>
              <w:top w:w="80" w:type="dxa"/>
              <w:left w:w="80" w:type="dxa"/>
              <w:bottom w:w="80" w:type="dxa"/>
              <w:right w:w="80" w:type="dxa"/>
            </w:tcMar>
          </w:tcPr>
          <w:p>
            <w:pPr>
              <w:spacing w:after="40" w:before="20" w:line="245" w:lineRule="auto"/>
            </w:pPr>
            <w:r>
              <w:rPr>
                <w:b/>
                <w:color w:val="173E48"/>
                <w:sz w:val="18"/>
              </w:rPr>
              <w:t>Efecto y dependencia</w:t>
            </w:r>
          </w:p>
        </w:tc>
        <w:tc>
          <w:tcPr>
            <w:tcW w:type="dxa" w:w="3572"/>
            <w:shd w:fill="E7EFF0"/>
            <w:tcMar>
              <w:top w:w="80" w:type="dxa"/>
              <w:left w:w="80" w:type="dxa"/>
              <w:bottom w:w="80" w:type="dxa"/>
              <w:right w:w="80" w:type="dxa"/>
            </w:tcMar>
          </w:tcPr>
          <w:p>
            <w:pPr>
              <w:spacing w:after="40" w:before="20" w:line="245" w:lineRule="auto"/>
            </w:pPr>
            <w:r>
              <w:rPr>
                <w:b/>
                <w:color w:val="173E48"/>
                <w:sz w:val="18"/>
              </w:rPr>
              <w:t>Detección y retorno</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Aceptar como validada otra versión</w:t>
            </w:r>
          </w:p>
        </w:tc>
        <w:tc>
          <w:tcPr>
            <w:tcW w:type="dxa" w:w="3685"/>
            <w:vAlign w:val="top"/>
            <w:tcMar>
              <w:top w:w="80" w:type="dxa"/>
              <w:left w:w="80" w:type="dxa"/>
              <w:bottom w:w="80" w:type="dxa"/>
              <w:right w:w="80" w:type="dxa"/>
            </w:tcMar>
          </w:tcPr>
          <w:p>
            <w:pPr>
              <w:spacing w:after="40" w:before="20" w:line="245" w:lineRule="auto"/>
            </w:pPr>
            <w:r>
              <w:rPr>
                <w:sz w:val="18"/>
              </w:rPr>
              <w:t>Publicación de un candidato distinto del probado</w:t>
            </w:r>
          </w:p>
        </w:tc>
        <w:tc>
          <w:tcPr>
            <w:tcW w:type="dxa" w:w="3572"/>
            <w:vAlign w:val="top"/>
            <w:tcMar>
              <w:top w:w="80" w:type="dxa"/>
              <w:left w:w="80" w:type="dxa"/>
              <w:bottom w:w="80" w:type="dxa"/>
              <w:right w:w="80" w:type="dxa"/>
            </w:tcMar>
          </w:tcPr>
          <w:p>
            <w:pPr>
              <w:spacing w:after="40" w:before="20" w:line="245" w:lineRule="auto"/>
            </w:pPr>
            <w:r>
              <w:rPr>
                <w:sz w:val="18"/>
              </w:rPr>
              <w:t>Comparar hash, actividad y resultado. Reabrir estado y restaurar referencia fijada.</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Borrar un guard con API aún consumida</w:t>
            </w:r>
          </w:p>
        </w:tc>
        <w:tc>
          <w:tcPr>
            <w:tcW w:type="dxa" w:w="3685"/>
            <w:vAlign w:val="top"/>
            <w:tcMar>
              <w:top w:w="80" w:type="dxa"/>
              <w:left w:w="80" w:type="dxa"/>
              <w:bottom w:w="80" w:type="dxa"/>
              <w:right w:w="80" w:type="dxa"/>
            </w:tcMar>
          </w:tcPr>
          <w:p>
            <w:pPr>
              <w:spacing w:after="40" w:before="20" w:line="245" w:lineRule="auto"/>
            </w:pPr>
            <w:r>
              <w:rPr>
                <w:sz w:val="18"/>
              </w:rPr>
              <w:t>Fallan navegación, modales, accesibilidad o acciones antiguas</w:t>
            </w:r>
          </w:p>
        </w:tc>
        <w:tc>
          <w:tcPr>
            <w:tcW w:type="dxa" w:w="3572"/>
            <w:vAlign w:val="top"/>
            <w:tcMar>
              <w:top w:w="80" w:type="dxa"/>
              <w:left w:w="80" w:type="dxa"/>
              <w:bottom w:w="80" w:type="dxa"/>
              <w:right w:w="80" w:type="dxa"/>
            </w:tcMar>
          </w:tcPr>
          <w:p>
            <w:pPr>
              <w:spacing w:after="40" w:before="20" w:line="245" w:lineRule="auto"/>
            </w:pPr>
            <w:r>
              <w:rPr>
                <w:sz w:val="18"/>
              </w:rPr>
              <w:t>Inventario de llamadores y regresión. Restaurar módulo y consumidores juntos.</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Unir ventanas o usar un punto como duración</w:t>
            </w:r>
          </w:p>
        </w:tc>
        <w:tc>
          <w:tcPr>
            <w:tcW w:type="dxa" w:w="3685"/>
            <w:vAlign w:val="top"/>
            <w:tcMar>
              <w:top w:w="80" w:type="dxa"/>
              <w:left w:w="80" w:type="dxa"/>
              <w:bottom w:w="80" w:type="dxa"/>
              <w:right w:w="80" w:type="dxa"/>
            </w:tcMar>
          </w:tcPr>
          <w:p>
            <w:pPr>
              <w:spacing w:after="40" w:before="20" w:line="245" w:lineRule="auto"/>
            </w:pPr>
            <w:r>
              <w:rPr>
                <w:sz w:val="18"/>
              </w:rPr>
              <w:t>Filtros, coexistencia, cuestionarios y gráficos ofrecen evidencia ficticia</w:t>
            </w:r>
          </w:p>
        </w:tc>
        <w:tc>
          <w:tcPr>
            <w:tcW w:type="dxa" w:w="3572"/>
            <w:vAlign w:val="top"/>
            <w:tcMar>
              <w:top w:w="80" w:type="dxa"/>
              <w:left w:w="80" w:type="dxa"/>
              <w:bottom w:w="80" w:type="dxa"/>
              <w:right w:w="80" w:type="dxa"/>
            </w:tcMar>
          </w:tcPr>
          <w:p>
            <w:pPr>
              <w:spacing w:after="40" w:before="20" w:line="245" w:lineRule="auto"/>
            </w:pPr>
            <w:r>
              <w:rPr>
                <w:sz w:val="18"/>
              </w:rPr>
              <w:t>Caso de hueco temporal y tipo de entidad. Volver al contrato tipado y ocultar la proyección.</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Cambiar DB sin actualizar catálogo</w:t>
            </w:r>
          </w:p>
        </w:tc>
        <w:tc>
          <w:tcPr>
            <w:tcW w:type="dxa" w:w="3685"/>
            <w:vAlign w:val="top"/>
            <w:tcMar>
              <w:top w:w="80" w:type="dxa"/>
              <w:left w:w="80" w:type="dxa"/>
              <w:bottom w:w="80" w:type="dxa"/>
              <w:right w:w="80" w:type="dxa"/>
            </w:tcMar>
          </w:tcPr>
          <w:p>
            <w:pPr>
              <w:spacing w:after="40" w:before="20" w:line="245" w:lineRule="auto"/>
            </w:pPr>
            <w:r>
              <w:rPr>
                <w:sz w:val="18"/>
              </w:rPr>
              <w:t>Paneles y exportaciones cuentan versiones distintas de una ficha</w:t>
            </w:r>
          </w:p>
        </w:tc>
        <w:tc>
          <w:tcPr>
            <w:tcW w:type="dxa" w:w="3572"/>
            <w:vAlign w:val="top"/>
            <w:tcMar>
              <w:top w:w="80" w:type="dxa"/>
              <w:left w:w="80" w:type="dxa"/>
              <w:bottom w:w="80" w:type="dxa"/>
              <w:right w:w="80" w:type="dxa"/>
            </w:tcMar>
          </w:tcPr>
          <w:p>
            <w:pPr>
              <w:spacing w:after="40" w:before="20" w:line="245" w:lineRule="auto"/>
            </w:pPr>
            <w:r>
              <w:rPr>
                <w:sz w:val="18"/>
              </w:rPr>
              <w:t>Cotejo campo a campo. Restaurar fuente y representaciones de la misma revisión.</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Aceptar foto ajena o descartar la propia</w:t>
            </w:r>
          </w:p>
        </w:tc>
        <w:tc>
          <w:tcPr>
            <w:tcW w:type="dxa" w:w="3685"/>
            <w:vAlign w:val="top"/>
            <w:tcMar>
              <w:top w:w="80" w:type="dxa"/>
              <w:left w:w="80" w:type="dxa"/>
              <w:bottom w:w="80" w:type="dxa"/>
              <w:right w:w="80" w:type="dxa"/>
            </w:tcMar>
          </w:tcPr>
          <w:p>
            <w:pPr>
              <w:spacing w:after="40" w:before="20" w:line="245" w:lineRule="auto"/>
            </w:pPr>
            <w:r>
              <w:rPr>
                <w:sz w:val="18"/>
              </w:rPr>
              <w:t>Comparación anatómica falsa o aviso erróneo de ausencia</w:t>
            </w:r>
          </w:p>
        </w:tc>
        <w:tc>
          <w:tcPr>
            <w:tcW w:type="dxa" w:w="3572"/>
            <w:vAlign w:val="top"/>
            <w:tcMar>
              <w:top w:w="80" w:type="dxa"/>
              <w:left w:w="80" w:type="dxa"/>
              <w:bottom w:w="80" w:type="dxa"/>
              <w:right w:w="80" w:type="dxa"/>
            </w:tcMar>
          </w:tcPr>
          <w:p>
            <w:pPr>
              <w:spacing w:after="40" w:before="20" w:line="245" w:lineRule="auto"/>
            </w:pPr>
            <w:r>
              <w:rPr>
                <w:sz w:val="18"/>
              </w:rPr>
              <w:t>Matriz ficha-recurso y prueba del error. Retirar activo o revertir clasificador.</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Llamar distribución a contexto regional</w:t>
            </w:r>
          </w:p>
        </w:tc>
        <w:tc>
          <w:tcPr>
            <w:tcW w:type="dxa" w:w="3685"/>
            <w:vAlign w:val="top"/>
            <w:tcMar>
              <w:top w:w="80" w:type="dxa"/>
              <w:left w:w="80" w:type="dxa"/>
              <w:bottom w:w="80" w:type="dxa"/>
              <w:right w:w="80" w:type="dxa"/>
            </w:tcMar>
          </w:tcPr>
          <w:p>
            <w:pPr>
              <w:spacing w:after="40" w:before="20" w:line="245" w:lineRule="auto"/>
            </w:pPr>
            <w:r>
              <w:rPr>
                <w:sz w:val="18"/>
              </w:rPr>
              <w:t>Se infieren presencia o dispersión sin soporte</w:t>
            </w:r>
          </w:p>
        </w:tc>
        <w:tc>
          <w:tcPr>
            <w:tcW w:type="dxa" w:w="3572"/>
            <w:vAlign w:val="top"/>
            <w:tcMar>
              <w:top w:w="80" w:type="dxa"/>
              <w:left w:w="80" w:type="dxa"/>
              <w:bottom w:w="80" w:type="dxa"/>
              <w:right w:w="80" w:type="dxa"/>
            </w:tcMar>
          </w:tcPr>
          <w:p>
            <w:pPr>
              <w:spacing w:after="40" w:before="20" w:line="245" w:lineRule="auto"/>
            </w:pPr>
            <w:r>
              <w:rPr>
                <w:sz w:val="18"/>
              </w:rPr>
              <w:t>Fuente y precisión por marcador. Volver al índice territorial orientativo.</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Cambiar scope/ruta o limpiar claves globales</w:t>
            </w:r>
          </w:p>
        </w:tc>
        <w:tc>
          <w:tcPr>
            <w:tcW w:type="dxa" w:w="3685"/>
            <w:vAlign w:val="top"/>
            <w:tcMar>
              <w:top w:w="80" w:type="dxa"/>
              <w:left w:w="80" w:type="dxa"/>
              <w:bottom w:w="80" w:type="dxa"/>
              <w:right w:w="80" w:type="dxa"/>
            </w:tcMar>
          </w:tcPr>
          <w:p>
            <w:pPr>
              <w:spacing w:after="40" w:before="20" w:line="245" w:lineRule="auto"/>
            </w:pPr>
            <w:r>
              <w:rPr>
                <w:sz w:val="18"/>
              </w:rPr>
              <w:t>Pérdida de notas o mezcla entre recursos</w:t>
            </w:r>
          </w:p>
        </w:tc>
        <w:tc>
          <w:tcPr>
            <w:tcW w:type="dxa" w:w="3572"/>
            <w:vAlign w:val="top"/>
            <w:tcMar>
              <w:top w:w="80" w:type="dxa"/>
              <w:left w:w="80" w:type="dxa"/>
              <w:bottom w:w="80" w:type="dxa"/>
              <w:right w:w="80" w:type="dxa"/>
            </w:tcMar>
          </w:tcPr>
          <w:p>
            <w:pPr>
              <w:spacing w:after="40" w:before="20" w:line="245" w:lineRule="auto"/>
            </w:pPr>
            <w:r>
              <w:rPr>
                <w:sz w:val="18"/>
              </w:rPr>
              <w:t>Dos actividades y almacenamiento denegado. Recuperar namespace y evitar borrar datos ajenos.</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Abrir permisos para satisfacer un arnés</w:t>
            </w:r>
          </w:p>
        </w:tc>
        <w:tc>
          <w:tcPr>
            <w:tcW w:type="dxa" w:w="3685"/>
            <w:vAlign w:val="top"/>
            <w:tcMar>
              <w:top w:w="80" w:type="dxa"/>
              <w:left w:w="80" w:type="dxa"/>
              <w:bottom w:w="80" w:type="dxa"/>
              <w:right w:w="80" w:type="dxa"/>
            </w:tcMar>
          </w:tcPr>
          <w:p>
            <w:pPr>
              <w:spacing w:after="40" w:before="20" w:line="245" w:lineRule="auto"/>
            </w:pPr>
            <w:r>
              <w:rPr>
                <w:sz w:val="18"/>
              </w:rPr>
              <w:t>Se amplía capacidad sin corregir el producto</w:t>
            </w:r>
          </w:p>
        </w:tc>
        <w:tc>
          <w:tcPr>
            <w:tcW w:type="dxa" w:w="3572"/>
            <w:vAlign w:val="top"/>
            <w:tcMar>
              <w:top w:w="80" w:type="dxa"/>
              <w:left w:w="80" w:type="dxa"/>
              <w:bottom w:w="80" w:type="dxa"/>
              <w:right w:w="80" w:type="dxa"/>
            </w:tcMar>
          </w:tcPr>
          <w:p>
            <w:pPr>
              <w:spacing w:after="40" w:before="20" w:line="245" w:lineRule="auto"/>
            </w:pPr>
            <w:r>
              <w:rPr>
                <w:sz w:val="18"/>
              </w:rPr>
              <w:t>Prueba externa compatible y cabeceras observadas. Restituir perfil mínimo.</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Añadir un módulo antes de estabilizar el arranque</w:t>
            </w:r>
          </w:p>
        </w:tc>
        <w:tc>
          <w:tcPr>
            <w:tcW w:type="dxa" w:w="3685"/>
            <w:vAlign w:val="top"/>
            <w:tcMar>
              <w:top w:w="80" w:type="dxa"/>
              <w:left w:w="80" w:type="dxa"/>
              <w:bottom w:w="80" w:type="dxa"/>
              <w:right w:w="80" w:type="dxa"/>
            </w:tcMar>
          </w:tcPr>
          <w:p>
            <w:pPr>
              <w:spacing w:after="40" w:before="20" w:line="245" w:lineRule="auto"/>
            </w:pPr>
            <w:r>
              <w:rPr>
                <w:sz w:val="18"/>
              </w:rPr>
              <w:t>Botones o consulta vuelven a fallar; aumenta carga</w:t>
            </w:r>
          </w:p>
        </w:tc>
        <w:tc>
          <w:tcPr>
            <w:tcW w:type="dxa" w:w="3572"/>
            <w:vAlign w:val="top"/>
            <w:tcMar>
              <w:top w:w="80" w:type="dxa"/>
              <w:left w:w="80" w:type="dxa"/>
              <w:bottom w:w="80" w:type="dxa"/>
              <w:right w:w="80" w:type="dxa"/>
            </w:tcMar>
          </w:tcPr>
          <w:p>
            <w:pPr>
              <w:spacing w:after="40" w:before="20" w:line="245" w:lineRule="auto"/>
            </w:pPr>
            <w:r>
              <w:rPr>
                <w:sz w:val="18"/>
              </w:rPr>
              <w:t>Medir la misma tarea y errores. Desactivar solo el añadido.</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Usar simulación como prueba de plataforma</w:t>
            </w:r>
          </w:p>
        </w:tc>
        <w:tc>
          <w:tcPr>
            <w:tcW w:type="dxa" w:w="3685"/>
            <w:vAlign w:val="top"/>
            <w:tcMar>
              <w:top w:w="80" w:type="dxa"/>
              <w:left w:w="80" w:type="dxa"/>
              <w:bottom w:w="80" w:type="dxa"/>
              <w:right w:w="80" w:type="dxa"/>
            </w:tcMar>
          </w:tcPr>
          <w:p>
            <w:pPr>
              <w:spacing w:after="40" w:before="20" w:line="245" w:lineRule="auto"/>
            </w:pPr>
            <w:r>
              <w:rPr>
                <w:sz w:val="18"/>
              </w:rPr>
              <w:t>Se declara resuelto lo que nadie ha ejecutado en Moodle</w:t>
            </w:r>
          </w:p>
        </w:tc>
        <w:tc>
          <w:tcPr>
            <w:tcW w:type="dxa" w:w="3572"/>
            <w:vAlign w:val="top"/>
            <w:tcMar>
              <w:top w:w="80" w:type="dxa"/>
              <w:left w:w="80" w:type="dxa"/>
              <w:bottom w:w="80" w:type="dxa"/>
              <w:right w:w="80" w:type="dxa"/>
            </w:tcMar>
          </w:tcPr>
          <w:p>
            <w:pPr>
              <w:spacing w:after="40" w:before="20" w:line="245" w:lineRule="auto"/>
            </w:pPr>
            <w:r>
              <w:rPr>
                <w:sz w:val="18"/>
              </w:rPr>
              <w:t>Separar estados de sintaxis, función aislada, navegador y LMS. Restituir pendiente.</w:t>
            </w:r>
          </w:p>
        </w:tc>
      </w:tr>
    </w:tbl>
    <w:p>
      <w:pPr>
        <w:spacing w:after="40"/>
      </w:pPr>
    </w:p>
    <w:p>
      <w:r>
        <w:t>Estas consecuencias son mecanismos de fallo o escenarios prospectivos, salvo cuando la evidencia del asunto registra una reproducción o un incidente. No se presenta como ocurrido todo daño posible. La matriz completa identifica el límite en cada uno de los 36 asuntos. [registro_decisiones.csv / JSON]</w:t>
      </w:r>
    </w:p>
    <w:p>
      <w:r>
        <w:br w:type="page"/>
      </w:r>
    </w:p>
    <w:p>
      <w:pPr>
        <w:pStyle w:val="Heading1"/>
      </w:pPr>
      <w:r>
        <w:t>12. Qué se ha comprobado en esta revisión</w:t>
      </w:r>
    </w:p>
    <w:tbl>
      <w:tblPr>
        <w:tblW w:type="auto" w:w="0"/>
        <w:jc w:val="center"/>
        <w:tblLayout w:type="fixed"/>
        <w:tblLook w:firstColumn="1" w:firstRow="1" w:lastColumn="0" w:lastRow="0" w:noHBand="0" w:noVBand="1" w:val="04A0"/>
      </w:tblPr>
      <w:tblGrid>
        <w:gridCol w:w="2608"/>
        <w:gridCol w:w="2948"/>
        <w:gridCol w:w="3969"/>
      </w:tblGrid>
      <w:tr>
        <w:trPr>
          <w:tblHeader/>
          <w:cantSplit/>
        </w:trPr>
        <w:tc>
          <w:tcPr>
            <w:tcW w:type="dxa" w:w="2608"/>
            <w:shd w:fill="E7EFF0"/>
            <w:tcMar>
              <w:top w:w="80" w:type="dxa"/>
              <w:left w:w="80" w:type="dxa"/>
              <w:bottom w:w="80" w:type="dxa"/>
              <w:right w:w="80" w:type="dxa"/>
            </w:tcMar>
          </w:tcPr>
          <w:p>
            <w:pPr>
              <w:spacing w:after="40" w:before="20" w:line="245" w:lineRule="auto"/>
            </w:pPr>
            <w:r>
              <w:rPr>
                <w:b/>
                <w:color w:val="173E48"/>
                <w:sz w:val="18"/>
              </w:rPr>
              <w:t>Comprobación actual</w:t>
            </w:r>
          </w:p>
        </w:tc>
        <w:tc>
          <w:tcPr>
            <w:tcW w:type="dxa" w:w="2948"/>
            <w:shd w:fill="E7EFF0"/>
            <w:tcMar>
              <w:top w:w="80" w:type="dxa"/>
              <w:left w:w="80" w:type="dxa"/>
              <w:bottom w:w="80" w:type="dxa"/>
              <w:right w:w="80" w:type="dxa"/>
            </w:tcMar>
          </w:tcPr>
          <w:p>
            <w:pPr>
              <w:spacing w:after="40" w:before="20" w:line="245" w:lineRule="auto"/>
            </w:pPr>
            <w:r>
              <w:rPr>
                <w:b/>
                <w:color w:val="173E48"/>
                <w:sz w:val="18"/>
              </w:rPr>
              <w:t>Resultado</w:t>
            </w:r>
          </w:p>
        </w:tc>
        <w:tc>
          <w:tcPr>
            <w:tcW w:type="dxa" w:w="3969"/>
            <w:shd w:fill="E7EFF0"/>
            <w:tcMar>
              <w:top w:w="80" w:type="dxa"/>
              <w:left w:w="80" w:type="dxa"/>
              <w:bottom w:w="80" w:type="dxa"/>
              <w:right w:w="80" w:type="dxa"/>
            </w:tcMar>
          </w:tcPr>
          <w:p>
            <w:pPr>
              <w:spacing w:after="40" w:before="20" w:line="245" w:lineRule="auto"/>
            </w:pPr>
            <w:r>
              <w:rPr>
                <w:b/>
                <w:color w:val="173E48"/>
                <w:sz w:val="18"/>
              </w:rPr>
              <w:t>Alcance</w:t>
            </w:r>
          </w:p>
        </w:tc>
      </w:tr>
      <w:tr>
        <w:trPr>
          <w:cantSplit/>
        </w:trPr>
        <w:tc>
          <w:tcPr>
            <w:tcW w:type="dxa" w:w="2608"/>
            <w:vAlign w:val="top"/>
            <w:tcMar>
              <w:top w:w="80" w:type="dxa"/>
              <w:left w:w="80" w:type="dxa"/>
              <w:bottom w:w="80" w:type="dxa"/>
              <w:right w:w="80" w:type="dxa"/>
            </w:tcMar>
          </w:tcPr>
          <w:p>
            <w:pPr>
              <w:spacing w:after="40" w:before="20" w:line="245" w:lineRule="auto"/>
            </w:pPr>
            <w:r>
              <w:rPr>
                <w:sz w:val="18"/>
              </w:rPr>
              <w:t>Inventario e identidad</w:t>
            </w:r>
          </w:p>
        </w:tc>
        <w:tc>
          <w:tcPr>
            <w:tcW w:type="dxa" w:w="2948"/>
            <w:vAlign w:val="top"/>
            <w:tcMar>
              <w:top w:w="80" w:type="dxa"/>
              <w:left w:w="80" w:type="dxa"/>
              <w:bottom w:w="80" w:type="dxa"/>
              <w:right w:w="80" w:type="dxa"/>
            </w:tcMar>
          </w:tcPr>
          <w:p>
            <w:pPr>
              <w:spacing w:after="40" w:before="20" w:line="245" w:lineRule="auto"/>
            </w:pPr>
            <w:r>
              <w:rPr>
                <w:sz w:val="18"/>
              </w:rPr>
              <w:t>272 archivos; 115 recuperados con hash</w:t>
            </w:r>
          </w:p>
        </w:tc>
        <w:tc>
          <w:tcPr>
            <w:tcW w:type="dxa" w:w="3969"/>
            <w:vAlign w:val="top"/>
            <w:tcMar>
              <w:top w:w="80" w:type="dxa"/>
              <w:left w:w="80" w:type="dxa"/>
              <w:bottom w:w="80" w:type="dxa"/>
              <w:right w:w="80" w:type="dxa"/>
            </w:tcMar>
          </w:tcPr>
          <w:p>
            <w:pPr>
              <w:spacing w:after="40" w:before="20" w:line="245" w:lineRule="auto"/>
            </w:pPr>
            <w:r>
              <w:rPr>
                <w:sz w:val="18"/>
              </w:rPr>
              <w:t>No son 272 archivos de contenido revisado ni todos los chats.</w:t>
            </w:r>
          </w:p>
        </w:tc>
      </w:tr>
      <w:tr>
        <w:trPr>
          <w:cantSplit/>
        </w:trPr>
        <w:tc>
          <w:tcPr>
            <w:tcW w:type="dxa" w:w="2608"/>
            <w:vAlign w:val="top"/>
            <w:tcMar>
              <w:top w:w="80" w:type="dxa"/>
              <w:left w:w="80" w:type="dxa"/>
              <w:bottom w:w="80" w:type="dxa"/>
              <w:right w:w="80" w:type="dxa"/>
            </w:tcMar>
          </w:tcPr>
          <w:p>
            <w:pPr>
              <w:spacing w:after="40" w:before="20" w:line="245" w:lineRule="auto"/>
            </w:pPr>
            <w:r>
              <w:rPr>
                <w:sz w:val="18"/>
              </w:rPr>
              <w:t>Integridad ZIP</w:t>
            </w:r>
          </w:p>
        </w:tc>
        <w:tc>
          <w:tcPr>
            <w:tcW w:type="dxa" w:w="2948"/>
            <w:vAlign w:val="top"/>
            <w:tcMar>
              <w:top w:w="80" w:type="dxa"/>
              <w:left w:w="80" w:type="dxa"/>
              <w:bottom w:w="80" w:type="dxa"/>
              <w:right w:w="80" w:type="dxa"/>
            </w:tcMar>
          </w:tcPr>
          <w:p>
            <w:pPr>
              <w:spacing w:after="40" w:before="20" w:line="245" w:lineRule="auto"/>
            </w:pPr>
            <w:r>
              <w:rPr>
                <w:sz w:val="18"/>
              </w:rPr>
              <w:t>36 abiertos y comprobados; cero fallos CRC</w:t>
            </w:r>
          </w:p>
        </w:tc>
        <w:tc>
          <w:tcPr>
            <w:tcW w:type="dxa" w:w="3969"/>
            <w:vAlign w:val="top"/>
            <w:tcMar>
              <w:top w:w="80" w:type="dxa"/>
              <w:left w:w="80" w:type="dxa"/>
              <w:bottom w:w="80" w:type="dxa"/>
              <w:right w:w="80" w:type="dxa"/>
            </w:tcMar>
          </w:tcPr>
          <w:p>
            <w:pPr>
              <w:spacing w:after="40" w:before="20" w:line="245" w:lineRule="auto"/>
            </w:pPr>
            <w:r>
              <w:rPr>
                <w:sz w:val="18"/>
              </w:rPr>
              <w:t>También se registran duplicados, rutas y enlaces simbólicos; no prueba contenido científico.</w:t>
            </w:r>
          </w:p>
        </w:tc>
      </w:tr>
      <w:tr>
        <w:trPr>
          <w:cantSplit/>
        </w:trPr>
        <w:tc>
          <w:tcPr>
            <w:tcW w:type="dxa" w:w="2608"/>
            <w:vAlign w:val="top"/>
            <w:tcMar>
              <w:top w:w="80" w:type="dxa"/>
              <w:left w:w="80" w:type="dxa"/>
              <w:bottom w:w="80" w:type="dxa"/>
              <w:right w:w="80" w:type="dxa"/>
            </w:tcMar>
          </w:tcPr>
          <w:p>
            <w:pPr>
              <w:spacing w:after="40" w:before="20" w:line="245" w:lineRule="auto"/>
            </w:pPr>
            <w:r>
              <w:rPr>
                <w:sz w:val="18"/>
              </w:rPr>
              <w:t>Sintaxis HTML/JS</w:t>
            </w:r>
          </w:p>
        </w:tc>
        <w:tc>
          <w:tcPr>
            <w:tcW w:type="dxa" w:w="2948"/>
            <w:vAlign w:val="top"/>
            <w:tcMar>
              <w:top w:w="80" w:type="dxa"/>
              <w:left w:w="80" w:type="dxa"/>
              <w:bottom w:w="80" w:type="dxa"/>
              <w:right w:w="80" w:type="dxa"/>
            </w:tcMar>
          </w:tcPr>
          <w:p>
            <w:pPr>
              <w:spacing w:after="40" w:before="20" w:line="245" w:lineRule="auto"/>
            </w:pPr>
            <w:r>
              <w:rPr>
                <w:sz w:val="18"/>
              </w:rPr>
              <w:t>77 bloques del piloto y 1 de v11 sin error</w:t>
            </w:r>
          </w:p>
        </w:tc>
        <w:tc>
          <w:tcPr>
            <w:tcW w:type="dxa" w:w="3969"/>
            <w:vAlign w:val="top"/>
            <w:tcMar>
              <w:top w:w="80" w:type="dxa"/>
              <w:left w:w="80" w:type="dxa"/>
              <w:bottom w:w="80" w:type="dxa"/>
              <w:right w:w="80" w:type="dxa"/>
            </w:tcMar>
          </w:tcPr>
          <w:p>
            <w:pPr>
              <w:spacing w:after="40" w:before="20" w:line="245" w:lineRule="auto"/>
            </w:pPr>
            <w:r>
              <w:rPr>
                <w:sz w:val="18"/>
              </w:rPr>
              <w:t>Node --check analiza sintaxis; no ejecuta sus eventos ni valida Moodle.</w:t>
            </w:r>
          </w:p>
        </w:tc>
      </w:tr>
      <w:tr>
        <w:trPr>
          <w:cantSplit/>
        </w:trPr>
        <w:tc>
          <w:tcPr>
            <w:tcW w:type="dxa" w:w="2608"/>
            <w:vAlign w:val="top"/>
            <w:tcMar>
              <w:top w:w="80" w:type="dxa"/>
              <w:left w:w="80" w:type="dxa"/>
              <w:bottom w:w="80" w:type="dxa"/>
              <w:right w:w="80" w:type="dxa"/>
            </w:tcMar>
          </w:tcPr>
          <w:p>
            <w:pPr>
              <w:spacing w:after="40" w:before="20" w:line="245" w:lineRule="auto"/>
            </w:pPr>
            <w:r>
              <w:rPr>
                <w:sz w:val="18"/>
              </w:rPr>
              <w:t>Estructura de dos HTML</w:t>
            </w:r>
          </w:p>
        </w:tc>
        <w:tc>
          <w:tcPr>
            <w:tcW w:type="dxa" w:w="2948"/>
            <w:vAlign w:val="top"/>
            <w:tcMar>
              <w:top w:w="80" w:type="dxa"/>
              <w:left w:w="80" w:type="dxa"/>
              <w:bottom w:w="80" w:type="dxa"/>
              <w:right w:w="80" w:type="dxa"/>
            </w:tcMar>
          </w:tcPr>
          <w:p>
            <w:pPr>
              <w:spacing w:after="40" w:before="20" w:line="245" w:lineRule="auto"/>
            </w:pPr>
            <w:r>
              <w:rPr>
                <w:sz w:val="18"/>
              </w:rPr>
              <w:t>Sin IDs duplicados ni destinos de ancla ausentes en la estructura analizada</w:t>
            </w:r>
          </w:p>
        </w:tc>
        <w:tc>
          <w:tcPr>
            <w:tcW w:type="dxa" w:w="3969"/>
            <w:vAlign w:val="top"/>
            <w:tcMar>
              <w:top w:w="80" w:type="dxa"/>
              <w:left w:w="80" w:type="dxa"/>
              <w:bottom w:w="80" w:type="dxa"/>
              <w:right w:w="80" w:type="dxa"/>
            </w:tcMar>
          </w:tcPr>
          <w:p>
            <w:pPr>
              <w:spacing w:after="40" w:before="20" w:line="245" w:lineRule="auto"/>
            </w:pPr>
            <w:r>
              <w:rPr>
                <w:sz w:val="18"/>
              </w:rPr>
              <w:t>El piloto genera parte de su DOM durante ejecución; esa parte no queda cubierta.</w:t>
            </w:r>
          </w:p>
        </w:tc>
      </w:tr>
      <w:tr>
        <w:trPr>
          <w:cantSplit/>
        </w:trPr>
        <w:tc>
          <w:tcPr>
            <w:tcW w:type="dxa" w:w="2608"/>
            <w:vAlign w:val="top"/>
            <w:tcMar>
              <w:top w:w="80" w:type="dxa"/>
              <w:left w:w="80" w:type="dxa"/>
              <w:bottom w:w="80" w:type="dxa"/>
              <w:right w:w="80" w:type="dxa"/>
            </w:tcMar>
          </w:tcPr>
          <w:p>
            <w:pPr>
              <w:spacing w:after="40" w:before="20" w:line="245" w:lineRule="auto"/>
            </w:pPr>
            <w:r>
              <w:rPr>
                <w:sz w:val="18"/>
              </w:rPr>
              <w:t>Hashes CSP del piloto</w:t>
            </w:r>
          </w:p>
        </w:tc>
        <w:tc>
          <w:tcPr>
            <w:tcW w:type="dxa" w:w="2948"/>
            <w:vAlign w:val="top"/>
            <w:tcMar>
              <w:top w:w="80" w:type="dxa"/>
              <w:left w:w="80" w:type="dxa"/>
              <w:bottom w:w="80" w:type="dxa"/>
              <w:right w:w="80" w:type="dxa"/>
            </w:tcMar>
          </w:tcPr>
          <w:p>
            <w:pPr>
              <w:spacing w:after="40" w:before="20" w:line="245" w:lineRule="auto"/>
            </w:pPr>
            <w:r>
              <w:rPr>
                <w:sz w:val="18"/>
              </w:rPr>
              <w:t>77 scripts y 56 estilos presentes en su meta</w:t>
            </w:r>
          </w:p>
        </w:tc>
        <w:tc>
          <w:tcPr>
            <w:tcW w:type="dxa" w:w="3969"/>
            <w:vAlign w:val="top"/>
            <w:tcMar>
              <w:top w:w="80" w:type="dxa"/>
              <w:left w:w="80" w:type="dxa"/>
              <w:bottom w:w="80" w:type="dxa"/>
              <w:right w:w="80" w:type="dxa"/>
            </w:tcMar>
          </w:tcPr>
          <w:p>
            <w:pPr>
              <w:spacing w:after="40" w:before="20" w:line="245" w:lineRule="auto"/>
            </w:pPr>
            <w:r>
              <w:rPr>
                <w:sz w:val="18"/>
              </w:rPr>
              <w:t>No acredita aceptación por cabeceras de respuesta del curso.</w:t>
            </w:r>
          </w:p>
        </w:tc>
      </w:tr>
      <w:tr>
        <w:trPr>
          <w:cantSplit/>
        </w:trPr>
        <w:tc>
          <w:tcPr>
            <w:tcW w:type="dxa" w:w="2608"/>
            <w:vAlign w:val="top"/>
            <w:tcMar>
              <w:top w:w="80" w:type="dxa"/>
              <w:left w:w="80" w:type="dxa"/>
              <w:bottom w:w="80" w:type="dxa"/>
              <w:right w:w="80" w:type="dxa"/>
            </w:tcMar>
          </w:tcPr>
          <w:p>
            <w:pPr>
              <w:spacing w:after="40" w:before="20" w:line="245" w:lineRule="auto"/>
            </w:pPr>
            <w:r>
              <w:rPr>
                <w:sz w:val="18"/>
              </w:rPr>
              <w:t>Catálogo fase 7 y v11</w:t>
            </w:r>
          </w:p>
        </w:tc>
        <w:tc>
          <w:tcPr>
            <w:tcW w:type="dxa" w:w="2948"/>
            <w:vAlign w:val="top"/>
            <w:tcMar>
              <w:top w:w="80" w:type="dxa"/>
              <w:left w:w="80" w:type="dxa"/>
              <w:bottom w:w="80" w:type="dxa"/>
              <w:right w:w="80" w:type="dxa"/>
            </w:tcMar>
          </w:tcPr>
          <w:p>
            <w:pPr>
              <w:spacing w:after="40" w:before="20" w:line="245" w:lineRule="auto"/>
            </w:pPr>
            <w:r>
              <w:rPr>
                <w:sz w:val="18"/>
              </w:rPr>
              <w:t>Igualdad exacta; hash 5eb460063f87…</w:t>
            </w:r>
          </w:p>
        </w:tc>
        <w:tc>
          <w:tcPr>
            <w:tcW w:type="dxa" w:w="3969"/>
            <w:vAlign w:val="top"/>
            <w:tcMar>
              <w:top w:w="80" w:type="dxa"/>
              <w:left w:w="80" w:type="dxa"/>
              <w:bottom w:w="80" w:type="dxa"/>
              <w:right w:w="80" w:type="dxa"/>
            </w:tcMar>
          </w:tcPr>
          <w:p>
            <w:pPr>
              <w:spacing w:after="40" w:before="20" w:line="245" w:lineRule="auto"/>
            </w:pPr>
            <w:r>
              <w:rPr>
                <w:sz w:val="18"/>
              </w:rPr>
              <w:t>50 fichas y 50 contratos. No valida cada afirmación.</w:t>
            </w:r>
          </w:p>
        </w:tc>
      </w:tr>
      <w:tr>
        <w:trPr>
          <w:cantSplit/>
        </w:trPr>
        <w:tc>
          <w:tcPr>
            <w:tcW w:type="dxa" w:w="2608"/>
            <w:vAlign w:val="top"/>
            <w:tcMar>
              <w:top w:w="80" w:type="dxa"/>
              <w:left w:w="80" w:type="dxa"/>
              <w:bottom w:w="80" w:type="dxa"/>
              <w:right w:w="80" w:type="dxa"/>
            </w:tcMar>
          </w:tcPr>
          <w:p>
            <w:pPr>
              <w:spacing w:after="40" w:before="20" w:line="245" w:lineRule="auto"/>
            </w:pPr>
            <w:r>
              <w:rPr>
                <w:sz w:val="18"/>
              </w:rPr>
              <w:t>Catálogo R98 frente a fase 7</w:t>
            </w:r>
          </w:p>
        </w:tc>
        <w:tc>
          <w:tcPr>
            <w:tcW w:type="dxa" w:w="2948"/>
            <w:vAlign w:val="top"/>
            <w:tcMar>
              <w:top w:w="80" w:type="dxa"/>
              <w:left w:w="80" w:type="dxa"/>
              <w:bottom w:w="80" w:type="dxa"/>
              <w:right w:w="80" w:type="dxa"/>
            </w:tcMar>
          </w:tcPr>
          <w:p>
            <w:pPr>
              <w:spacing w:after="40" w:before="20" w:line="245" w:lineRule="auto"/>
            </w:pPr>
            <w:r>
              <w:rPr>
                <w:sz w:val="18"/>
              </w:rPr>
              <w:t>38 diferencias de URL de imagen; cronología igual</w:t>
            </w:r>
          </w:p>
        </w:tc>
        <w:tc>
          <w:tcPr>
            <w:tcW w:type="dxa" w:w="3969"/>
            <w:vAlign w:val="top"/>
            <w:tcMar>
              <w:top w:w="80" w:type="dxa"/>
              <w:left w:w="80" w:type="dxa"/>
              <w:bottom w:w="80" w:type="dxa"/>
              <w:right w:w="80" w:type="dxa"/>
            </w:tcMar>
          </w:tcPr>
          <w:p>
            <w:pPr>
              <w:spacing w:after="40" w:before="20" w:line="245" w:lineRule="auto"/>
            </w:pPr>
            <w:r>
              <w:rPr>
                <w:sz w:val="18"/>
              </w:rPr>
              <w:t>No se encontraron cambios adicionales de campo en los registros comparados.</w:t>
            </w:r>
          </w:p>
        </w:tc>
      </w:tr>
      <w:tr>
        <w:trPr>
          <w:cantSplit/>
        </w:trPr>
        <w:tc>
          <w:tcPr>
            <w:tcW w:type="dxa" w:w="2608"/>
            <w:vAlign w:val="top"/>
            <w:tcMar>
              <w:top w:w="80" w:type="dxa"/>
              <w:left w:w="80" w:type="dxa"/>
              <w:bottom w:w="80" w:type="dxa"/>
              <w:right w:w="80" w:type="dxa"/>
            </w:tcMar>
          </w:tcPr>
          <w:p>
            <w:pPr>
              <w:spacing w:after="40" w:before="20" w:line="245" w:lineRule="auto"/>
            </w:pPr>
            <w:r>
              <w:rPr>
                <w:sz w:val="18"/>
              </w:rPr>
              <w:t>DB frente a catálogo</w:t>
            </w:r>
          </w:p>
        </w:tc>
        <w:tc>
          <w:tcPr>
            <w:tcW w:type="dxa" w:w="2948"/>
            <w:vAlign w:val="top"/>
            <w:tcMar>
              <w:top w:w="80" w:type="dxa"/>
              <w:left w:w="80" w:type="dxa"/>
              <w:bottom w:w="80" w:type="dxa"/>
              <w:right w:w="80" w:type="dxa"/>
            </w:tcMar>
          </w:tcPr>
          <w:p>
            <w:pPr>
              <w:spacing w:after="40" w:before="20" w:line="245" w:lineRule="auto"/>
            </w:pPr>
            <w:r>
              <w:rPr>
                <w:sz w:val="18"/>
              </w:rPr>
              <w:t>Fase 7/R98: cero diferencias salvo mapa excluido; C6.3.5: diez campos principales en cinco fichas</w:t>
            </w:r>
          </w:p>
        </w:tc>
        <w:tc>
          <w:tcPr>
            <w:tcW w:type="dxa" w:w="3969"/>
            <w:vAlign w:val="top"/>
            <w:tcMar>
              <w:top w:w="80" w:type="dxa"/>
              <w:left w:w="80" w:type="dxa"/>
              <w:bottom w:w="80" w:type="dxa"/>
              <w:right w:w="80" w:type="dxa"/>
            </w:tcMar>
          </w:tcPr>
          <w:p>
            <w:pPr>
              <w:spacing w:after="40" w:before="20" w:line="245" w:lineRule="auto"/>
            </w:pPr>
            <w:r>
              <w:rPr>
                <w:sz w:val="18"/>
              </w:rPr>
              <w:t>Lectura de literales sin eval. No verifica la semántica de mapas.</w:t>
            </w:r>
          </w:p>
        </w:tc>
      </w:tr>
      <w:tr>
        <w:trPr>
          <w:cantSplit/>
        </w:trPr>
        <w:tc>
          <w:tcPr>
            <w:tcW w:type="dxa" w:w="2608"/>
            <w:vAlign w:val="top"/>
            <w:tcMar>
              <w:top w:w="80" w:type="dxa"/>
              <w:left w:w="80" w:type="dxa"/>
              <w:bottom w:w="80" w:type="dxa"/>
              <w:right w:w="80" w:type="dxa"/>
            </w:tcMar>
          </w:tcPr>
          <w:p>
            <w:pPr>
              <w:spacing w:after="40" w:before="20" w:line="245" w:lineRule="auto"/>
            </w:pPr>
            <w:r>
              <w:rPr>
                <w:sz w:val="18"/>
              </w:rPr>
              <w:t>Expediente visual</w:t>
            </w:r>
          </w:p>
        </w:tc>
        <w:tc>
          <w:tcPr>
            <w:tcW w:type="dxa" w:w="2948"/>
            <w:vAlign w:val="top"/>
            <w:tcMar>
              <w:top w:w="80" w:type="dxa"/>
              <w:left w:w="80" w:type="dxa"/>
              <w:bottom w:w="80" w:type="dxa"/>
              <w:right w:w="80" w:type="dxa"/>
            </w:tcMar>
          </w:tcPr>
          <w:p>
            <w:pPr>
              <w:spacing w:after="40" w:before="20" w:line="245" w:lineRule="auto"/>
            </w:pPr>
            <w:r>
              <w:rPr>
                <w:sz w:val="18"/>
              </w:rPr>
              <w:t>47 documentados, 3 pendientes, 4 candidatas excluidas</w:t>
            </w:r>
          </w:p>
        </w:tc>
        <w:tc>
          <w:tcPr>
            <w:tcW w:type="dxa" w:w="3969"/>
            <w:vAlign w:val="top"/>
            <w:tcMar>
              <w:top w:w="80" w:type="dxa"/>
              <w:left w:w="80" w:type="dxa"/>
              <w:bottom w:w="80" w:type="dxa"/>
              <w:right w:w="80" w:type="dxa"/>
            </w:tcMar>
          </w:tcPr>
          <w:p>
            <w:pPr>
              <w:spacing w:after="40" w:before="20" w:line="245" w:lineRule="auto"/>
            </w:pPr>
            <w:r>
              <w:rPr>
                <w:sz w:val="18"/>
              </w:rPr>
              <w:t>Se revisó el registro; no se revalidaron todas sus páginas de origen.</w:t>
            </w:r>
          </w:p>
        </w:tc>
      </w:tr>
      <w:tr>
        <w:trPr>
          <w:cantSplit/>
        </w:trPr>
        <w:tc>
          <w:tcPr>
            <w:tcW w:type="dxa" w:w="2608"/>
            <w:vAlign w:val="top"/>
            <w:tcMar>
              <w:top w:w="80" w:type="dxa"/>
              <w:left w:w="80" w:type="dxa"/>
              <w:bottom w:w="80" w:type="dxa"/>
              <w:right w:w="80" w:type="dxa"/>
            </w:tcMar>
          </w:tcPr>
          <w:p>
            <w:pPr>
              <w:spacing w:after="40" w:before="20" w:line="245" w:lineRule="auto"/>
            </w:pPr>
            <w:r>
              <w:rPr>
                <w:sz w:val="18"/>
              </w:rPr>
              <w:t>Módulo multimedia 066</w:t>
            </w:r>
          </w:p>
        </w:tc>
        <w:tc>
          <w:tcPr>
            <w:tcW w:type="dxa" w:w="2948"/>
            <w:vAlign w:val="top"/>
            <w:tcMar>
              <w:top w:w="80" w:type="dxa"/>
              <w:left w:w="80" w:type="dxa"/>
              <w:bottom w:w="80" w:type="dxa"/>
              <w:right w:w="80" w:type="dxa"/>
            </w:tcMar>
          </w:tcPr>
          <w:p>
            <w:pPr>
              <w:spacing w:after="40" w:before="20" w:line="245" w:lineRule="auto"/>
            </w:pPr>
            <w:r>
              <w:rPr>
                <w:sz w:val="18"/>
              </w:rPr>
              <w:t>Tres sustituciones reproducidas; 44 URL y un mapa preservados</w:t>
            </w:r>
          </w:p>
        </w:tc>
        <w:tc>
          <w:tcPr>
            <w:tcW w:type="dxa" w:w="3969"/>
            <w:vAlign w:val="top"/>
            <w:tcMar>
              <w:top w:w="80" w:type="dxa"/>
              <w:left w:w="80" w:type="dxa"/>
              <w:bottom w:w="80" w:type="dxa"/>
              <w:right w:w="80" w:type="dxa"/>
            </w:tcMar>
          </w:tcPr>
          <w:p>
            <w:pPr>
              <w:spacing w:after="40" w:before="20" w:line="245" w:lineRule="auto"/>
            </w:pPr>
            <w:r>
              <w:rPr>
                <w:sz w:val="18"/>
              </w:rPr>
              <w:t>DOM simulado, sin red y sin ejecución del producto completo.</w:t>
            </w:r>
          </w:p>
        </w:tc>
      </w:tr>
      <w:tr>
        <w:trPr>
          <w:cantSplit/>
        </w:trPr>
        <w:tc>
          <w:tcPr>
            <w:tcW w:type="dxa" w:w="2608"/>
            <w:vAlign w:val="top"/>
            <w:tcMar>
              <w:top w:w="80" w:type="dxa"/>
              <w:left w:w="80" w:type="dxa"/>
              <w:bottom w:w="80" w:type="dxa"/>
              <w:right w:w="80" w:type="dxa"/>
            </w:tcMar>
          </w:tcPr>
          <w:p>
            <w:pPr>
              <w:spacing w:after="40" w:before="20" w:line="245" w:lineRule="auto"/>
            </w:pPr>
            <w:r>
              <w:rPr>
                <w:sz w:val="18"/>
              </w:rPr>
              <w:t>Genealogía de ZIP</w:t>
            </w:r>
          </w:p>
        </w:tc>
        <w:tc>
          <w:tcPr>
            <w:tcW w:type="dxa" w:w="2948"/>
            <w:vAlign w:val="top"/>
            <w:tcMar>
              <w:top w:w="80" w:type="dxa"/>
              <w:left w:w="80" w:type="dxa"/>
              <w:bottom w:w="80" w:type="dxa"/>
              <w:right w:w="80" w:type="dxa"/>
            </w:tcMar>
          </w:tcPr>
          <w:p>
            <w:pPr>
              <w:spacing w:after="40" w:before="20" w:line="245" w:lineRule="auto"/>
            </w:pPr>
            <w:r>
              <w:rPr>
                <w:sz w:val="18"/>
              </w:rPr>
              <w:t>Tres niveles examinados; 97,2 % del contenido de C6.3.5 es ZIP padre</w:t>
            </w:r>
          </w:p>
        </w:tc>
        <w:tc>
          <w:tcPr>
            <w:tcW w:type="dxa" w:w="3969"/>
            <w:vAlign w:val="top"/>
            <w:tcMar>
              <w:top w:w="80" w:type="dxa"/>
              <w:left w:w="80" w:type="dxa"/>
              <w:bottom w:w="80" w:type="dxa"/>
              <w:right w:w="80" w:type="dxa"/>
            </w:tcMar>
          </w:tcPr>
          <w:p>
            <w:pPr>
              <w:spacing w:after="40" w:before="20" w:line="245" w:lineRule="auto"/>
            </w:pPr>
            <w:r>
              <w:rPr>
                <w:sz w:val="18"/>
              </w:rPr>
              <w:t>Mide estructura del paquete; no demuestra que cause la lentitud observada.</w:t>
            </w:r>
          </w:p>
        </w:tc>
      </w:tr>
      <w:tr>
        <w:trPr>
          <w:cantSplit/>
        </w:trPr>
        <w:tc>
          <w:tcPr>
            <w:tcW w:type="dxa" w:w="2608"/>
            <w:vAlign w:val="top"/>
            <w:tcMar>
              <w:top w:w="80" w:type="dxa"/>
              <w:left w:w="80" w:type="dxa"/>
              <w:bottom w:w="80" w:type="dxa"/>
              <w:right w:w="80" w:type="dxa"/>
            </w:tcMar>
          </w:tcPr>
          <w:p>
            <w:pPr>
              <w:spacing w:after="40" w:before="20" w:line="245" w:lineRule="auto"/>
            </w:pPr>
            <w:r>
              <w:rPr>
                <w:sz w:val="18"/>
              </w:rPr>
              <w:t>Fuentes focales externas</w:t>
            </w:r>
          </w:p>
        </w:tc>
        <w:tc>
          <w:tcPr>
            <w:tcW w:type="dxa" w:w="2948"/>
            <w:vAlign w:val="top"/>
            <w:tcMar>
              <w:top w:w="80" w:type="dxa"/>
              <w:left w:w="80" w:type="dxa"/>
              <w:bottom w:w="80" w:type="dxa"/>
              <w:right w:w="80" w:type="dxa"/>
            </w:tcMar>
          </w:tcPr>
          <w:p>
            <w:pPr>
              <w:spacing w:after="40" w:before="20" w:line="245" w:lineRule="auto"/>
            </w:pPr>
            <w:r>
              <w:rPr>
                <w:sz w:val="18"/>
              </w:rPr>
              <w:t>Dos publicaciones Bianfu localizadas y artículo 73 consultado</w:t>
            </w:r>
          </w:p>
        </w:tc>
        <w:tc>
          <w:tcPr>
            <w:tcW w:type="dxa" w:w="3969"/>
            <w:vAlign w:val="top"/>
            <w:tcMar>
              <w:top w:w="80" w:type="dxa"/>
              <w:left w:w="80" w:type="dxa"/>
              <w:bottom w:w="80" w:type="dxa"/>
              <w:right w:w="80" w:type="dxa"/>
            </w:tcMar>
          </w:tcPr>
          <w:p>
            <w:pPr>
              <w:spacing w:after="40" w:before="20" w:line="245" w:lineRule="auto"/>
            </w:pPr>
            <w:r>
              <w:rPr>
                <w:sz w:val="18"/>
              </w:rPr>
              <w:t>No es una revisión bibliográfica integral.</w:t>
            </w:r>
          </w:p>
        </w:tc>
      </w:tr>
    </w:tbl>
    <w:p>
      <w:pPr>
        <w:spacing w:after="40"/>
      </w:pPr>
    </w:p>
    <w:p>
      <w:r>
        <w:t>No ejecutado ahora: navegador real, lector de pantalla, Moodle, ciclo SCORM, pruebas con alumnado y las baterías históricas completas. La falta inicial de una biblioteca auxiliar de extracción se resolvió mediante el analizador estándar de HTML; no se clasificó como defecto de Paleobot. [E12-E13]</w:t>
      </w:r>
    </w:p>
    <w:p>
      <w:r>
        <w:br w:type="page"/>
      </w:r>
    </w:p>
    <w:p>
      <w:pPr>
        <w:pStyle w:val="Heading1"/>
      </w:pPr>
      <w:r>
        <w:t>13. Cómo documentar la próxima modificación</w:t>
      </w:r>
    </w:p>
    <w:p>
      <w:r>
        <w:t>El registro maestro incluye 36 asuntos con prioridad, estado, evidencia, decisión propuesta, motivo, cambio histórico, comprobación actual, pendiente, consecuencia del error, criterio de cierre y reversión. Las columnas se entregan en CSV y JSON para mantener el detalle sin depender del texto del informe.</w:t>
      </w:r>
    </w:p>
    <w:tbl>
      <w:tblPr>
        <w:tblW w:type="auto" w:w="0"/>
        <w:jc w:val="center"/>
        <w:tblLayout w:type="fixed"/>
        <w:tblLook w:firstColumn="1" w:firstRow="1" w:lastColumn="0" w:lastRow="0" w:noHBand="0" w:noVBand="1" w:val="04A0"/>
      </w:tblPr>
      <w:tblGrid>
        <w:gridCol w:w="2268"/>
        <w:gridCol w:w="7257"/>
      </w:tblGrid>
      <w:tr>
        <w:trPr>
          <w:tblHeader/>
          <w:cantSplit/>
        </w:trPr>
        <w:tc>
          <w:tcPr>
            <w:tcW w:type="dxa" w:w="2268"/>
            <w:shd w:fill="E7EFF0"/>
            <w:tcMar>
              <w:top w:w="80" w:type="dxa"/>
              <w:left w:w="80" w:type="dxa"/>
              <w:bottom w:w="80" w:type="dxa"/>
              <w:right w:w="80" w:type="dxa"/>
            </w:tcMar>
          </w:tcPr>
          <w:p>
            <w:pPr>
              <w:spacing w:after="40" w:before="20" w:line="245" w:lineRule="auto"/>
            </w:pPr>
            <w:r>
              <w:rPr>
                <w:b/>
                <w:color w:val="173E48"/>
                <w:sz w:val="18"/>
              </w:rPr>
              <w:t>Campo obligatorio</w:t>
            </w:r>
          </w:p>
        </w:tc>
        <w:tc>
          <w:tcPr>
            <w:tcW w:type="dxa" w:w="7257"/>
            <w:shd w:fill="E7EFF0"/>
            <w:tcMar>
              <w:top w:w="80" w:type="dxa"/>
              <w:left w:w="80" w:type="dxa"/>
              <w:bottom w:w="80" w:type="dxa"/>
              <w:right w:w="80" w:type="dxa"/>
            </w:tcMar>
          </w:tcPr>
          <w:p>
            <w:pPr>
              <w:spacing w:after="40" w:before="20" w:line="245" w:lineRule="auto"/>
            </w:pPr>
            <w:r>
              <w:rPr>
                <w:b/>
                <w:color w:val="173E48"/>
                <w:sz w:val="18"/>
              </w:rPr>
              <w:t>Contenido que debe registrarse</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Identidad</w:t>
            </w:r>
          </w:p>
        </w:tc>
        <w:tc>
          <w:tcPr>
            <w:tcW w:type="dxa" w:w="7257"/>
            <w:vAlign w:val="top"/>
            <w:tcMar>
              <w:top w:w="80" w:type="dxa"/>
              <w:left w:w="80" w:type="dxa"/>
              <w:bottom w:w="80" w:type="dxa"/>
              <w:right w:w="80" w:type="dxa"/>
            </w:tcMar>
          </w:tcPr>
          <w:p>
            <w:pPr>
              <w:spacing w:after="40" w:before="20" w:line="245" w:lineRule="auto"/>
            </w:pPr>
            <w:r>
              <w:rPr>
                <w:sz w:val="18"/>
              </w:rPr>
              <w:t>ID del cambio, rama, versión, archivo/hash de partida y destino.</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Problema y motivo</w:t>
            </w:r>
          </w:p>
        </w:tc>
        <w:tc>
          <w:tcPr>
            <w:tcW w:type="dxa" w:w="7257"/>
            <w:vAlign w:val="top"/>
            <w:tcMar>
              <w:top w:w="80" w:type="dxa"/>
              <w:left w:w="80" w:type="dxa"/>
              <w:bottom w:w="80" w:type="dxa"/>
              <w:right w:w="80" w:type="dxa"/>
            </w:tcMar>
          </w:tcPr>
          <w:p>
            <w:pPr>
              <w:spacing w:after="40" w:before="20" w:line="245" w:lineRule="auto"/>
            </w:pPr>
            <w:r>
              <w:rPr>
                <w:sz w:val="18"/>
              </w:rPr>
              <w:t>Conducta observada, condición que la activa y por qué merece una intervención.</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Alternativas</w:t>
            </w:r>
          </w:p>
        </w:tc>
        <w:tc>
          <w:tcPr>
            <w:tcW w:type="dxa" w:w="7257"/>
            <w:vAlign w:val="top"/>
            <w:tcMar>
              <w:top w:w="80" w:type="dxa"/>
              <w:left w:w="80" w:type="dxa"/>
              <w:bottom w:w="80" w:type="dxa"/>
              <w:right w:w="80" w:type="dxa"/>
            </w:tcMar>
          </w:tcPr>
          <w:p>
            <w:pPr>
              <w:spacing w:after="40" w:before="20" w:line="245" w:lineRule="auto"/>
            </w:pPr>
            <w:r>
              <w:rPr>
                <w:sz w:val="18"/>
              </w:rPr>
              <w:t>Conservar, corregir, retirar o aplazar; razón de aceptar o descartar cada alternativa relevante.</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Cambio aplicado</w:t>
            </w:r>
          </w:p>
        </w:tc>
        <w:tc>
          <w:tcPr>
            <w:tcW w:type="dxa" w:w="7257"/>
            <w:vAlign w:val="top"/>
            <w:tcMar>
              <w:top w:w="80" w:type="dxa"/>
              <w:left w:w="80" w:type="dxa"/>
              <w:bottom w:w="80" w:type="dxa"/>
              <w:right w:w="80" w:type="dxa"/>
            </w:tcMar>
          </w:tcPr>
          <w:p>
            <w:pPr>
              <w:spacing w:after="40" w:before="20" w:line="245" w:lineRule="auto"/>
            </w:pPr>
            <w:r>
              <w:rPr>
                <w:sz w:val="18"/>
              </w:rPr>
              <w:t>Archivos y símbolos tocados, antes/después y dependencias. Diferenciar lo aplicado de lo propuesto.</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Pruebas</w:t>
            </w:r>
          </w:p>
        </w:tc>
        <w:tc>
          <w:tcPr>
            <w:tcW w:type="dxa" w:w="7257"/>
            <w:vAlign w:val="top"/>
            <w:tcMar>
              <w:top w:w="80" w:type="dxa"/>
              <w:left w:w="80" w:type="dxa"/>
              <w:bottom w:w="80" w:type="dxa"/>
              <w:right w:w="80" w:type="dxa"/>
            </w:tcMar>
          </w:tcPr>
          <w:p>
            <w:pPr>
              <w:spacing w:after="40" w:before="20" w:line="245" w:lineRule="auto"/>
            </w:pPr>
            <w:r>
              <w:rPr>
                <w:sz w:val="18"/>
              </w:rPr>
              <w:t>Caso, objeto exacto, entorno, resultado, evidencia y límite. Marcar resultados históricos reutilizados.</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Preservación</w:t>
            </w:r>
          </w:p>
        </w:tc>
        <w:tc>
          <w:tcPr>
            <w:tcW w:type="dxa" w:w="7257"/>
            <w:vAlign w:val="top"/>
            <w:tcMar>
              <w:top w:w="80" w:type="dxa"/>
              <w:left w:w="80" w:type="dxa"/>
              <w:bottom w:w="80" w:type="dxa"/>
              <w:right w:w="80" w:type="dxa"/>
            </w:tcMar>
          </w:tcPr>
          <w:p>
            <w:pPr>
              <w:spacing w:after="40" w:before="20" w:line="245" w:lineRule="auto"/>
            </w:pPr>
            <w:r>
              <w:rPr>
                <w:sz w:val="18"/>
              </w:rPr>
              <w:t>Datos, contratos y funciones previas que deben seguir funcionando; pruebas que los cubren.</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Fallo y consecuencias</w:t>
            </w:r>
          </w:p>
        </w:tc>
        <w:tc>
          <w:tcPr>
            <w:tcW w:type="dxa" w:w="7257"/>
            <w:vAlign w:val="top"/>
            <w:tcMar>
              <w:top w:w="80" w:type="dxa"/>
              <w:left w:w="80" w:type="dxa"/>
              <w:bottom w:w="80" w:type="dxa"/>
              <w:right w:w="80" w:type="dxa"/>
            </w:tcMar>
          </w:tcPr>
          <w:p>
            <w:pPr>
              <w:spacing w:after="40" w:before="20" w:line="245" w:lineRule="auto"/>
            </w:pPr>
            <w:r>
              <w:rPr>
                <w:sz w:val="18"/>
              </w:rPr>
              <w:t>Qué se rompe si la premisa era incorrecta o aparece una regresión; alcance del daño.</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Retorno</w:t>
            </w:r>
          </w:p>
        </w:tc>
        <w:tc>
          <w:tcPr>
            <w:tcW w:type="dxa" w:w="7257"/>
            <w:vAlign w:val="top"/>
            <w:tcMar>
              <w:top w:w="80" w:type="dxa"/>
              <w:left w:w="80" w:type="dxa"/>
              <w:bottom w:w="80" w:type="dxa"/>
              <w:right w:w="80" w:type="dxa"/>
            </w:tcMar>
          </w:tcPr>
          <w:p>
            <w:pPr>
              <w:spacing w:after="40" w:before="20" w:line="245" w:lineRule="auto"/>
            </w:pPr>
            <w:r>
              <w:rPr>
                <w:sz w:val="18"/>
              </w:rPr>
              <w:t>Archivo/estado anterior y procedimiento para restaurarlo sin perder datos ni evidencia.</w:t>
            </w:r>
          </w:p>
        </w:tc>
      </w:tr>
      <w:tr>
        <w:trPr>
          <w:cantSplit/>
        </w:trPr>
        <w:tc>
          <w:tcPr>
            <w:tcW w:type="dxa" w:w="2268"/>
            <w:vAlign w:val="top"/>
            <w:tcMar>
              <w:top w:w="80" w:type="dxa"/>
              <w:left w:w="80" w:type="dxa"/>
              <w:bottom w:w="80" w:type="dxa"/>
              <w:right w:w="80" w:type="dxa"/>
            </w:tcMar>
          </w:tcPr>
          <w:p>
            <w:pPr>
              <w:spacing w:after="40" w:before="20" w:line="245" w:lineRule="auto"/>
            </w:pPr>
            <w:r>
              <w:rPr>
                <w:sz w:val="18"/>
              </w:rPr>
              <w:t>Decisión de cierre</w:t>
            </w:r>
          </w:p>
        </w:tc>
        <w:tc>
          <w:tcPr>
            <w:tcW w:type="dxa" w:w="7257"/>
            <w:vAlign w:val="top"/>
            <w:tcMar>
              <w:top w:w="80" w:type="dxa"/>
              <w:left w:w="80" w:type="dxa"/>
              <w:bottom w:w="80" w:type="dxa"/>
              <w:right w:w="80" w:type="dxa"/>
            </w:tcMar>
          </w:tcPr>
          <w:p>
            <w:pPr>
              <w:spacing w:after="40" w:before="20" w:line="245" w:lineRule="auto"/>
            </w:pPr>
            <w:r>
              <w:rPr>
                <w:sz w:val="18"/>
              </w:rPr>
              <w:t>Corregido dentro del alcance, pendiente externo, rechazado, sustituido o reabierto; motivo.</w:t>
            </w:r>
          </w:p>
        </w:tc>
      </w:tr>
    </w:tbl>
    <w:p>
      <w:pPr>
        <w:spacing w:after="40"/>
      </w:pPr>
    </w:p>
    <w:p>
      <w:pPr>
        <w:pStyle w:val="Heading2"/>
      </w:pPr>
      <w:r>
        <w:t>Ejemplo preparado: PB-01</w:t>
      </w:r>
    </w:p>
    <w:p>
      <w:r>
        <w:t>Base: piloto R98 y fuente 066 identificada. Motivo: tres recursos del expediente son descartados por la lista genérica. Alternativas: borrar el reparador completo o distinguir reserva y recurso canónico. Se propone la segunda porque el módulo también protege contra fotos ajenas y conserva la exclusión de mapas.</w:t>
      </w:r>
    </w:p>
    <w:p>
      <w:r>
        <w:t>Antes de cerrar una corrección: deben pasar el caso original, el recurso ajeno, el error de carga, el mapa y las fichas restantes. Después se necesita la prueba representativa en navegador/Moodle. Si aparece una regresión, restaurar el clasificador anterior de esa misma base y reabrir PB-01; no añadir un capturador global ni cambiar el resultado del ensayo para obtener PASS.</w:t>
      </w:r>
    </w:p>
    <w:p>
      <w:r>
        <w:t>Cambio realizado en esta sesión: documentación, inventario, cotejos y ensayo aislado. Cambio de código del programa: ninguno. Próxima intervención preparada: resolver PB-01 en copia identificada y verificar su impacto; el estado de publicación continúa pendiente. [E12]</w:t>
      </w:r>
    </w:p>
    <w:p>
      <w:r>
        <w:br w:type="page"/>
      </w:r>
    </w:p>
    <w:p>
      <w:pPr>
        <w:pStyle w:val="Heading1"/>
      </w:pPr>
      <w:r>
        <w:t>14. Fuentes y estructura del expediente</w:t>
      </w:r>
    </w:p>
    <w:tbl>
      <w:tblPr>
        <w:tblW w:type="auto" w:w="0"/>
        <w:jc w:val="center"/>
        <w:tblLayout w:type="fixed"/>
        <w:tblLook w:firstColumn="1" w:firstRow="1" w:lastColumn="0" w:lastRow="0" w:noHBand="0" w:noVBand="1" w:val="04A0"/>
      </w:tblPr>
      <w:tblGrid>
        <w:gridCol w:w="680"/>
        <w:gridCol w:w="8844"/>
      </w:tblGrid>
      <w:tr>
        <w:trPr>
          <w:tblHeader/>
          <w:cantSplit/>
        </w:trPr>
        <w:tc>
          <w:tcPr>
            <w:tcW w:type="dxa" w:w="680"/>
            <w:shd w:fill="E7EFF0"/>
            <w:tcMar>
              <w:top w:w="80" w:type="dxa"/>
              <w:left w:w="80" w:type="dxa"/>
              <w:bottom w:w="80" w:type="dxa"/>
              <w:right w:w="80" w:type="dxa"/>
            </w:tcMar>
          </w:tcPr>
          <w:p>
            <w:pPr>
              <w:spacing w:after="40" w:before="20" w:line="245" w:lineRule="auto"/>
            </w:pPr>
            <w:r>
              <w:rPr>
                <w:b/>
                <w:color w:val="173E48"/>
                <w:sz w:val="18"/>
              </w:rPr>
              <w:t>ID</w:t>
            </w:r>
          </w:p>
        </w:tc>
        <w:tc>
          <w:tcPr>
            <w:tcW w:type="dxa" w:w="8844"/>
            <w:shd w:fill="E7EFF0"/>
            <w:tcMar>
              <w:top w:w="80" w:type="dxa"/>
              <w:left w:w="80" w:type="dxa"/>
              <w:bottom w:w="80" w:type="dxa"/>
              <w:right w:w="80" w:type="dxa"/>
            </w:tcMar>
          </w:tcPr>
          <w:p>
            <w:pPr>
              <w:spacing w:after="40" w:before="20" w:line="245" w:lineRule="auto"/>
            </w:pPr>
            <w:r>
              <w:rPr>
                <w:b/>
                <w:color w:val="173E48"/>
                <w:sz w:val="18"/>
              </w:rPr>
              <w:t>Fuente principal y uso</w:t>
            </w:r>
          </w:p>
        </w:tc>
      </w:tr>
      <w:tr>
        <w:trPr>
          <w:cantSplit/>
        </w:trPr>
        <w:tc>
          <w:tcPr>
            <w:tcW w:type="dxa" w:w="680"/>
            <w:vAlign w:val="top"/>
            <w:tcMar>
              <w:top w:w="80" w:type="dxa"/>
              <w:left w:w="80" w:type="dxa"/>
              <w:bottom w:w="80" w:type="dxa"/>
              <w:right w:w="80" w:type="dxa"/>
            </w:tcMar>
          </w:tcPr>
          <w:p>
            <w:pPr>
              <w:spacing w:after="40" w:before="20" w:line="245" w:lineRule="auto"/>
            </w:pPr>
            <w:r>
              <w:rPr>
                <w:sz w:val="18"/>
              </w:rPr>
              <w:t>E01</w:t>
            </w:r>
          </w:p>
        </w:tc>
        <w:tc>
          <w:tcPr>
            <w:tcW w:type="dxa" w:w="8844"/>
            <w:vAlign w:val="top"/>
            <w:tcMar>
              <w:top w:w="80" w:type="dxa"/>
              <w:left w:w="80" w:type="dxa"/>
              <w:bottom w:w="80" w:type="dxa"/>
              <w:right w:w="80" w:type="dxa"/>
            </w:tcMar>
          </w:tcPr>
          <w:p>
            <w:pPr>
              <w:spacing w:after="40" w:before="20" w:line="245" w:lineRule="auto"/>
            </w:pPr>
            <w:r>
              <w:rPr>
                <w:sz w:val="18"/>
              </w:rPr>
              <w:t>Antecedentes conversacionales recuperados en dos búsquedas temáticas del 24-10-2026. Incluyen preferencias, fallos comunicados, Lite, v9 y propuesta Lucy. Sin transcripciones completas ni enlaces de todos los chats.</w:t>
            </w:r>
          </w:p>
        </w:tc>
      </w:tr>
      <w:tr>
        <w:trPr>
          <w:cantSplit/>
        </w:trPr>
        <w:tc>
          <w:tcPr>
            <w:tcW w:type="dxa" w:w="680"/>
            <w:vAlign w:val="top"/>
            <w:tcMar>
              <w:top w:w="80" w:type="dxa"/>
              <w:left w:w="80" w:type="dxa"/>
              <w:bottom w:w="80" w:type="dxa"/>
              <w:right w:w="80" w:type="dxa"/>
            </w:tcMar>
          </w:tcPr>
          <w:p>
            <w:pPr>
              <w:spacing w:after="40" w:before="20" w:line="245" w:lineRule="auto"/>
            </w:pPr>
            <w:r>
              <w:rPr>
                <w:sz w:val="18"/>
              </w:rPr>
              <w:t>E02</w:t>
            </w:r>
          </w:p>
        </w:tc>
        <w:tc>
          <w:tcPr>
            <w:tcW w:type="dxa" w:w="8844"/>
            <w:vAlign w:val="top"/>
            <w:tcMar>
              <w:top w:w="80" w:type="dxa"/>
              <w:left w:w="80" w:type="dxa"/>
              <w:bottom w:w="80" w:type="dxa"/>
              <w:right w:w="80" w:type="dxa"/>
            </w:tcMar>
          </w:tcPr>
          <w:p>
            <w:pPr>
              <w:spacing w:after="40" w:before="20" w:line="245" w:lineRule="auto"/>
            </w:pPr>
            <w:r>
              <w:rPr>
                <w:sz w:val="18"/>
              </w:rPr>
              <w:t>paleobot_v56.html, v56.3 y v69: inventario histórico de aplicaciones. No se ha auditado íntegramente su comportamiento.</w:t>
            </w:r>
          </w:p>
        </w:tc>
      </w:tr>
      <w:tr>
        <w:trPr>
          <w:cantSplit/>
        </w:trPr>
        <w:tc>
          <w:tcPr>
            <w:tcW w:type="dxa" w:w="680"/>
            <w:vAlign w:val="top"/>
            <w:tcMar>
              <w:top w:w="80" w:type="dxa"/>
              <w:left w:w="80" w:type="dxa"/>
              <w:bottom w:w="80" w:type="dxa"/>
              <w:right w:w="80" w:type="dxa"/>
            </w:tcMar>
          </w:tcPr>
          <w:p>
            <w:pPr>
              <w:spacing w:after="40" w:before="20" w:line="245" w:lineRule="auto"/>
            </w:pPr>
            <w:r>
              <w:rPr>
                <w:sz w:val="18"/>
              </w:rPr>
              <w:t>E03</w:t>
            </w:r>
          </w:p>
        </w:tc>
        <w:tc>
          <w:tcPr>
            <w:tcW w:type="dxa" w:w="8844"/>
            <w:vAlign w:val="top"/>
            <w:tcMar>
              <w:top w:w="80" w:type="dxa"/>
              <w:left w:w="80" w:type="dxa"/>
              <w:bottom w:w="80" w:type="dxa"/>
              <w:right w:w="80" w:type="dxa"/>
            </w:tcMar>
          </w:tcPr>
          <w:p>
            <w:pPr>
              <w:spacing w:after="40" w:before="20" w:line="245" w:lineRule="auto"/>
            </w:pPr>
            <w:r>
              <w:rPr>
                <w:sz w:val="18"/>
              </w:rPr>
              <w:t>Recovery R93 y sus informes R12/R15/R38/R48/R49/R57/R64/R89/R93. Fundamentan navegación, retiradas, rutas, almacenamiento, CSP y límites de la validación.</w:t>
            </w:r>
          </w:p>
        </w:tc>
      </w:tr>
      <w:tr>
        <w:trPr>
          <w:cantSplit/>
        </w:trPr>
        <w:tc>
          <w:tcPr>
            <w:tcW w:type="dxa" w:w="680"/>
            <w:vAlign w:val="top"/>
            <w:tcMar>
              <w:top w:w="80" w:type="dxa"/>
              <w:left w:w="80" w:type="dxa"/>
              <w:bottom w:w="80" w:type="dxa"/>
              <w:right w:w="80" w:type="dxa"/>
            </w:tcMar>
          </w:tcPr>
          <w:p>
            <w:pPr>
              <w:spacing w:after="40" w:before="20" w:line="245" w:lineRule="auto"/>
            </w:pPr>
            <w:r>
              <w:rPr>
                <w:sz w:val="18"/>
              </w:rPr>
              <w:t>E04</w:t>
            </w:r>
          </w:p>
        </w:tc>
        <w:tc>
          <w:tcPr>
            <w:tcW w:type="dxa" w:w="8844"/>
            <w:vAlign w:val="top"/>
            <w:tcMar>
              <w:top w:w="80" w:type="dxa"/>
              <w:left w:w="80" w:type="dxa"/>
              <w:bottom w:w="80" w:type="dxa"/>
              <w:right w:w="80" w:type="dxa"/>
            </w:tcMar>
          </w:tcPr>
          <w:p>
            <w:pPr>
              <w:spacing w:after="40" w:before="20" w:line="245" w:lineRule="auto"/>
            </w:pPr>
            <w:r>
              <w:rPr>
                <w:sz w:val="18"/>
              </w:rPr>
              <w:t>INFORME_A1_RECONCILIACION_CIENTIFICA.md e INFORME_A2_MODELO_CRONOLOGICO_Y_PARCHE.md, extraídos de sus ZIP.</w:t>
            </w:r>
          </w:p>
        </w:tc>
      </w:tr>
      <w:tr>
        <w:trPr>
          <w:cantSplit/>
        </w:trPr>
        <w:tc>
          <w:tcPr>
            <w:tcW w:type="dxa" w:w="680"/>
            <w:vAlign w:val="top"/>
            <w:tcMar>
              <w:top w:w="80" w:type="dxa"/>
              <w:left w:w="80" w:type="dxa"/>
              <w:bottom w:w="80" w:type="dxa"/>
              <w:right w:w="80" w:type="dxa"/>
            </w:tcMar>
          </w:tcPr>
          <w:p>
            <w:pPr>
              <w:spacing w:after="40" w:before="20" w:line="245" w:lineRule="auto"/>
            </w:pPr>
            <w:r>
              <w:rPr>
                <w:sz w:val="18"/>
              </w:rPr>
              <w:t>E05</w:t>
            </w:r>
          </w:p>
        </w:tc>
        <w:tc>
          <w:tcPr>
            <w:tcW w:type="dxa" w:w="8844"/>
            <w:vAlign w:val="top"/>
            <w:tcMar>
              <w:top w:w="80" w:type="dxa"/>
              <w:left w:w="80" w:type="dxa"/>
              <w:bottom w:w="80" w:type="dxa"/>
              <w:right w:w="80" w:type="dxa"/>
            </w:tcMar>
          </w:tcPr>
          <w:p>
            <w:pPr>
              <w:spacing w:after="40" w:before="20" w:line="245" w:lineRule="auto"/>
            </w:pPr>
            <w:r>
              <w:rPr>
                <w:sz w:val="18"/>
              </w:rPr>
              <w:t>Cierres y verificaciones A3 C4-C6.3.5; informes C6.1, C6.2 y cohortes R05 conservados dentro del checkpoint.</w:t>
            </w:r>
          </w:p>
        </w:tc>
      </w:tr>
      <w:tr>
        <w:trPr>
          <w:cantSplit/>
        </w:trPr>
        <w:tc>
          <w:tcPr>
            <w:tcW w:type="dxa" w:w="680"/>
            <w:vAlign w:val="top"/>
            <w:tcMar>
              <w:top w:w="80" w:type="dxa"/>
              <w:left w:w="80" w:type="dxa"/>
              <w:bottom w:w="80" w:type="dxa"/>
              <w:right w:w="80" w:type="dxa"/>
            </w:tcMar>
          </w:tcPr>
          <w:p>
            <w:pPr>
              <w:spacing w:after="40" w:before="20" w:line="245" w:lineRule="auto"/>
            </w:pPr>
            <w:r>
              <w:rPr>
                <w:sz w:val="18"/>
              </w:rPr>
              <w:t>E06</w:t>
            </w:r>
          </w:p>
        </w:tc>
        <w:tc>
          <w:tcPr>
            <w:tcW w:type="dxa" w:w="8844"/>
            <w:vAlign w:val="top"/>
            <w:tcMar>
              <w:top w:w="80" w:type="dxa"/>
              <w:left w:w="80" w:type="dxa"/>
              <w:bottom w:w="80" w:type="dxa"/>
              <w:right w:w="80" w:type="dxa"/>
            </w:tcMar>
          </w:tcPr>
          <w:p>
            <w:pPr>
              <w:spacing w:after="40" w:before="20" w:line="245" w:lineRule="auto"/>
            </w:pPr>
            <w:r>
              <w:rPr>
                <w:sz w:val="18"/>
              </w:rPr>
              <w:t>PaleoBot_A3_C6_4_2_cierre.json y estado interno de recepción. Acreditan ausencia de retornos, no ejecución de Moodle y permanencia de NO_GO.</w:t>
            </w:r>
          </w:p>
        </w:tc>
      </w:tr>
      <w:tr>
        <w:trPr>
          <w:cantSplit/>
        </w:trPr>
        <w:tc>
          <w:tcPr>
            <w:tcW w:type="dxa" w:w="680"/>
            <w:vAlign w:val="top"/>
            <w:tcMar>
              <w:top w:w="80" w:type="dxa"/>
              <w:left w:w="80" w:type="dxa"/>
              <w:bottom w:w="80" w:type="dxa"/>
              <w:right w:w="80" w:type="dxa"/>
            </w:tcMar>
          </w:tcPr>
          <w:p>
            <w:pPr>
              <w:spacing w:after="40" w:before="20" w:line="245" w:lineRule="auto"/>
            </w:pPr>
            <w:r>
              <w:rPr>
                <w:sz w:val="18"/>
              </w:rPr>
              <w:t>E07</w:t>
            </w:r>
          </w:p>
        </w:tc>
        <w:tc>
          <w:tcPr>
            <w:tcW w:type="dxa" w:w="8844"/>
            <w:vAlign w:val="top"/>
            <w:tcMar>
              <w:top w:w="80" w:type="dxa"/>
              <w:left w:w="80" w:type="dxa"/>
              <w:bottom w:w="80" w:type="dxa"/>
              <w:right w:w="80" w:type="dxa"/>
            </w:tcMar>
          </w:tcPr>
          <w:p>
            <w:pPr>
              <w:spacing w:after="40" w:before="20" w:line="245" w:lineRule="auto"/>
            </w:pPr>
            <w:r>
              <w:rPr>
                <w:sz w:val="18"/>
              </w:rPr>
              <w:t>Cierres Immersive P6, P8, P9 y P9.1. Explican alcance del prototipo, activos y puertas pendientes.</w:t>
            </w:r>
          </w:p>
        </w:tc>
      </w:tr>
      <w:tr>
        <w:trPr>
          <w:cantSplit/>
        </w:trPr>
        <w:tc>
          <w:tcPr>
            <w:tcW w:type="dxa" w:w="680"/>
            <w:vAlign w:val="top"/>
            <w:tcMar>
              <w:top w:w="80" w:type="dxa"/>
              <w:left w:w="80" w:type="dxa"/>
              <w:bottom w:w="80" w:type="dxa"/>
              <w:right w:w="80" w:type="dxa"/>
            </w:tcMar>
          </w:tcPr>
          <w:p>
            <w:pPr>
              <w:spacing w:after="40" w:before="20" w:line="245" w:lineRule="auto"/>
            </w:pPr>
            <w:r>
              <w:rPr>
                <w:sz w:val="18"/>
              </w:rPr>
              <w:t>E08</w:t>
            </w:r>
          </w:p>
        </w:tc>
        <w:tc>
          <w:tcPr>
            <w:tcW w:type="dxa" w:w="8844"/>
            <w:vAlign w:val="top"/>
            <w:tcMar>
              <w:top w:w="80" w:type="dxa"/>
              <w:left w:w="80" w:type="dxa"/>
              <w:bottom w:w="80" w:type="dxa"/>
              <w:right w:w="80" w:type="dxa"/>
            </w:tcMar>
          </w:tcPr>
          <w:p>
            <w:pPr>
              <w:spacing w:after="40" w:before="20" w:line="245" w:lineRule="auto"/>
            </w:pPr>
            <w:r>
              <w:rPr>
                <w:sz w:val="18"/>
              </w:rPr>
              <w:t>Cierres y verificaciones Lite/Balanced v3-v7. Las cifras de referencias de esta rama no se equiparan a las 121 del catálogo A3.</w:t>
            </w:r>
          </w:p>
        </w:tc>
      </w:tr>
      <w:tr>
        <w:trPr>
          <w:cantSplit/>
        </w:trPr>
        <w:tc>
          <w:tcPr>
            <w:tcW w:type="dxa" w:w="680"/>
            <w:vAlign w:val="top"/>
            <w:tcMar>
              <w:top w:w="80" w:type="dxa"/>
              <w:left w:w="80" w:type="dxa"/>
              <w:bottom w:w="80" w:type="dxa"/>
              <w:right w:w="80" w:type="dxa"/>
            </w:tcMar>
          </w:tcPr>
          <w:p>
            <w:pPr>
              <w:spacing w:after="40" w:before="20" w:line="245" w:lineRule="auto"/>
            </w:pPr>
            <w:r>
              <w:rPr>
                <w:sz w:val="18"/>
              </w:rPr>
              <w:t>E09</w:t>
            </w:r>
          </w:p>
        </w:tc>
        <w:tc>
          <w:tcPr>
            <w:tcW w:type="dxa" w:w="8844"/>
            <w:vAlign w:val="top"/>
            <w:tcMar>
              <w:top w:w="80" w:type="dxa"/>
              <w:left w:w="80" w:type="dxa"/>
              <w:bottom w:w="80" w:type="dxa"/>
              <w:right w:w="80" w:type="dxa"/>
            </w:tcMar>
          </w:tcPr>
          <w:p>
            <w:pPr>
              <w:spacing w:after="40" w:before="20" w:line="245" w:lineRule="auto"/>
            </w:pPr>
            <w:r>
              <w:rPr>
                <w:sz w:val="18"/>
              </w:rPr>
              <w:t>Auditorías PaleoBot_Fase1 a Fase7b y sus JSON; fase 7, catálogo y archivos de ejecución seleccionados.</w:t>
            </w:r>
          </w:p>
        </w:tc>
      </w:tr>
      <w:tr>
        <w:trPr>
          <w:cantSplit/>
        </w:trPr>
        <w:tc>
          <w:tcPr>
            <w:tcW w:type="dxa" w:w="680"/>
            <w:vAlign w:val="top"/>
            <w:tcMar>
              <w:top w:w="80" w:type="dxa"/>
              <w:left w:w="80" w:type="dxa"/>
              <w:bottom w:w="80" w:type="dxa"/>
              <w:right w:w="80" w:type="dxa"/>
            </w:tcMar>
          </w:tcPr>
          <w:p>
            <w:pPr>
              <w:spacing w:after="40" w:before="20" w:line="245" w:lineRule="auto"/>
            </w:pPr>
            <w:r>
              <w:rPr>
                <w:sz w:val="18"/>
              </w:rPr>
              <w:t>E10</w:t>
            </w:r>
          </w:p>
        </w:tc>
        <w:tc>
          <w:tcPr>
            <w:tcW w:type="dxa" w:w="8844"/>
            <w:vAlign w:val="top"/>
            <w:tcMar>
              <w:top w:w="80" w:type="dxa"/>
              <w:left w:w="80" w:type="dxa"/>
              <w:bottom w:w="80" w:type="dxa"/>
              <w:right w:w="80" w:type="dxa"/>
            </w:tcMar>
          </w:tcPr>
          <w:p>
            <w:pPr>
              <w:spacing w:after="40" w:before="20" w:line="245" w:lineRule="auto"/>
            </w:pPr>
            <w:r>
              <w:rPr>
                <w:sz w:val="18"/>
              </w:rPr>
              <w:t>AUDITORIA_PALEOBOT_R98_v11.md; fuentes de v11, build.py, interaccion.js e image_audit.json.</w:t>
            </w:r>
          </w:p>
        </w:tc>
      </w:tr>
      <w:tr>
        <w:trPr>
          <w:cantSplit/>
        </w:trPr>
        <w:tc>
          <w:tcPr>
            <w:tcW w:type="dxa" w:w="680"/>
            <w:vAlign w:val="top"/>
            <w:tcMar>
              <w:top w:w="80" w:type="dxa"/>
              <w:left w:w="80" w:type="dxa"/>
              <w:bottom w:w="80" w:type="dxa"/>
              <w:right w:w="80" w:type="dxa"/>
            </w:tcMar>
          </w:tcPr>
          <w:p>
            <w:pPr>
              <w:spacing w:after="40" w:before="20" w:line="245" w:lineRule="auto"/>
            </w:pPr>
            <w:r>
              <w:rPr>
                <w:sz w:val="18"/>
              </w:rPr>
              <w:t>E11</w:t>
            </w:r>
          </w:p>
        </w:tc>
        <w:tc>
          <w:tcPr>
            <w:tcW w:type="dxa" w:w="8844"/>
            <w:vAlign w:val="top"/>
            <w:tcMar>
              <w:top w:w="80" w:type="dxa"/>
              <w:left w:w="80" w:type="dxa"/>
              <w:bottom w:w="80" w:type="dxa"/>
              <w:right w:w="80" w:type="dxa"/>
            </w:tcMar>
          </w:tcPr>
          <w:p>
            <w:pPr>
              <w:spacing w:after="40" w:before="20" w:line="245" w:lineRule="auto"/>
            </w:pPr>
            <w:r>
              <w:rPr>
                <w:sz w:val="18"/>
              </w:rPr>
              <w:t>LEEME del Atlas directo R98, HTML piloto y ZIP de fuentes, incluido build_directo_r98.py y módulos multimedia.</w:t>
            </w:r>
          </w:p>
        </w:tc>
      </w:tr>
      <w:tr>
        <w:trPr>
          <w:cantSplit/>
        </w:trPr>
        <w:tc>
          <w:tcPr>
            <w:tcW w:type="dxa" w:w="680"/>
            <w:vAlign w:val="top"/>
            <w:tcMar>
              <w:top w:w="80" w:type="dxa"/>
              <w:left w:w="80" w:type="dxa"/>
              <w:bottom w:w="80" w:type="dxa"/>
              <w:right w:w="80" w:type="dxa"/>
            </w:tcMar>
          </w:tcPr>
          <w:p>
            <w:pPr>
              <w:spacing w:after="40" w:before="20" w:line="245" w:lineRule="auto"/>
            </w:pPr>
            <w:r>
              <w:rPr>
                <w:sz w:val="18"/>
              </w:rPr>
              <w:t>E12</w:t>
            </w:r>
          </w:p>
        </w:tc>
        <w:tc>
          <w:tcPr>
            <w:tcW w:type="dxa" w:w="8844"/>
            <w:vAlign w:val="top"/>
            <w:tcMar>
              <w:top w:w="80" w:type="dxa"/>
              <w:left w:w="80" w:type="dxa"/>
              <w:bottom w:w="80" w:type="dxa"/>
              <w:right w:w="80" w:type="dxa"/>
            </w:tcMar>
          </w:tcPr>
          <w:p>
            <w:pPr>
              <w:spacing w:after="40" w:before="20" w:line="245" w:lineRule="auto"/>
            </w:pPr>
            <w:r>
              <w:rPr>
                <w:sz w:val="18"/>
              </w:rPr>
              <w:t>Resultados nuevos: inventario, CRC, sintaxis, estructura, cotejos de catálogos/DB, genealogía y reproducción de medios. Se incluyen entradas, hash y ensayo autónomo.</w:t>
            </w:r>
          </w:p>
        </w:tc>
      </w:tr>
      <w:tr>
        <w:trPr>
          <w:cantSplit/>
        </w:trPr>
        <w:tc>
          <w:tcPr>
            <w:tcW w:type="dxa" w:w="680"/>
            <w:vAlign w:val="top"/>
            <w:tcMar>
              <w:top w:w="80" w:type="dxa"/>
              <w:left w:w="80" w:type="dxa"/>
              <w:bottom w:w="80" w:type="dxa"/>
              <w:right w:w="80" w:type="dxa"/>
            </w:tcMar>
          </w:tcPr>
          <w:p>
            <w:pPr>
              <w:spacing w:after="40" w:before="20" w:line="245" w:lineRule="auto"/>
            </w:pPr>
            <w:r>
              <w:rPr>
                <w:sz w:val="18"/>
              </w:rPr>
              <w:t>E13</w:t>
            </w:r>
          </w:p>
        </w:tc>
        <w:tc>
          <w:tcPr>
            <w:tcW w:type="dxa" w:w="8844"/>
            <w:vAlign w:val="top"/>
            <w:tcMar>
              <w:top w:w="80" w:type="dxa"/>
              <w:left w:w="80" w:type="dxa"/>
              <w:bottom w:w="80" w:type="dxa"/>
              <w:right w:w="80" w:type="dxa"/>
            </w:tcMar>
          </w:tcPr>
          <w:p>
            <w:pPr>
              <w:spacing w:after="40" w:before="20" w:line="245" w:lineRule="auto"/>
            </w:pPr>
            <w:r>
              <w:rPr>
                <w:sz w:val="18"/>
              </w:rPr>
              <w:t>Rao et al. (2026), Nature, DOI 10.1038/s41586-026-10976-9; Ruan et al. (2026), Nature, DOI 10.1038/s41586-026-10997-4; ICZN, artículo 73. Consulta: 24-10-2026.</w:t>
            </w:r>
          </w:p>
        </w:tc>
      </w:tr>
    </w:tbl>
    <w:p>
      <w:pPr>
        <w:spacing w:after="40"/>
      </w:pPr>
    </w:p>
    <w:p>
      <w:r>
        <w:t>El inventario CSV/JSON conserva nombre, identidad, fecha, enlace y hash de los archivos recuperados. El manifiesto de entrega fija el contenido del expediente. Los archivos sin bytes recuperados se distinguen expresamente de los inspeccionados.</w:t>
      </w:r>
    </w:p>
    <w:p>
      <w:r>
        <w:t>Las propuestas de retirada y ampliación se documentan en registro_decisiones.csv y registro_decisiones.json. reproducir_colision_medios.cjs reproduce el hallazgo PB-01 con datos y código adjuntos; no abre Moodle ni ejecuta el Atlas completo.</w:t>
      </w:r>
    </w:p>
    <w:sectPr w:rsidR="00FC693F" w:rsidRPr="0006063C" w:rsidSect="00034616">
      <w:footerReference w:type="default" r:id="rId9"/>
      <w:pgSz w:w="11906" w:h="16838"/>
      <w:pgMar w:top="1020" w:right="1162" w:bottom="935" w:left="1162" w:header="720"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56B"/>
        <w:sz w:val="16"/>
      </w:rPr>
      <w:t xml:space="preserve">PaleoBot · PB-AUD-01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Liberation Sans" w:hAnsi="Liberation Sans"/>
      <w:b/>
      <w:bCs/>
      <w:color w:val="173E48"/>
      <w:sz w:val="36"/>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Liberation Sans" w:hAnsi="Liberation Sans"/>
      <w:b/>
      <w:bCs/>
      <w:color w:val="173E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color w:val="173E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Liberation Sans" w:hAnsi="Liberation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Liberation Sans" w:hAnsi="Liberation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PaleoBot. Informe consolidado de estado, decisiones y regresiones</dc:title>
  <dc:subject>Reconstrucción documental y revisión focal PB-AUD-01</dc:subject>
  <dc:creator/>
  <cp:keywords>PaleoBot, auditoría, evidencia, Moodle, decisiones, regresiones</cp:keywords>
  <dc:description>generated by python-docx</dc:description>
  <cp:lastModifiedBy/>
  <cp:revision>1</cp:revision>
  <dcterms:created xsi:type="dcterms:W3CDTF">2013-12-23T23:15:00Z</dcterms:created>
  <dcterms:modified xsi:type="dcterms:W3CDTF">2013-12-23T23:15:00Z</dcterms:modified>
  <cp:category/>
</cp:coreProperties>
</file>