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932D" w14:textId="77777777" w:rsidR="00F962A2" w:rsidRPr="00276A8D" w:rsidRDefault="00000000">
      <w:pPr>
        <w:pStyle w:val="Ttulo1"/>
        <w:rPr>
          <w:lang w:val="pt-BR"/>
        </w:rPr>
      </w:pPr>
      <w:bookmarkStart w:id="0" w:name="Xa166c28e4f95cb9cecdb841f1e8d1691acdab8e"/>
      <w:r w:rsidRPr="00276A8D">
        <w:rPr>
          <w:lang w:val="pt-BR"/>
        </w:rPr>
        <w:t xml:space="preserve">Documento de Arquitetura de Software – </w:t>
      </w:r>
      <w:proofErr w:type="spellStart"/>
      <w:r w:rsidRPr="00276A8D">
        <w:rPr>
          <w:lang w:val="pt-BR"/>
        </w:rPr>
        <w:t>FundCalc</w:t>
      </w:r>
      <w:proofErr w:type="spellEnd"/>
    </w:p>
    <w:p w14:paraId="419625B3" w14:textId="2C1B31DA" w:rsidR="00F962A2" w:rsidRDefault="00000000">
      <w:pPr>
        <w:pStyle w:val="FirstParagraph"/>
      </w:pPr>
      <w:proofErr w:type="spellStart"/>
      <w:r>
        <w:rPr>
          <w:b/>
          <w:bCs/>
        </w:rPr>
        <w:t>Versão</w:t>
      </w:r>
      <w:proofErr w:type="spellEnd"/>
      <w:r>
        <w:rPr>
          <w:b/>
          <w:bCs/>
        </w:rPr>
        <w:t>:</w:t>
      </w:r>
      <w:r>
        <w:t xml:space="preserve"> 1.</w:t>
      </w:r>
      <w:r w:rsidR="00276A8D">
        <w:t>2</w:t>
      </w:r>
      <w:r>
        <w:br/>
      </w:r>
      <w:r>
        <w:rPr>
          <w:b/>
          <w:bCs/>
        </w:rPr>
        <w:t>Data:</w:t>
      </w:r>
      <w:r>
        <w:t xml:space="preserve"> </w:t>
      </w:r>
      <w:r>
        <w:br/>
      </w:r>
    </w:p>
    <w:p w14:paraId="383123B6" w14:textId="77777777" w:rsidR="00F962A2" w:rsidRDefault="00000000">
      <w:pPr>
        <w:pStyle w:val="Ttulo2"/>
      </w:pPr>
      <w:bookmarkStart w:id="1" w:name="introdução"/>
      <w:r>
        <w:t>1. Introdução</w:t>
      </w:r>
    </w:p>
    <w:p w14:paraId="5033D53B" w14:textId="14164E55" w:rsidR="00F962A2" w:rsidRPr="00276A8D" w:rsidRDefault="00D1511F">
      <w:pPr>
        <w:pStyle w:val="FirstParagraph"/>
        <w:rPr>
          <w:lang w:val="pt-BR"/>
        </w:rPr>
      </w:pPr>
      <w:r w:rsidRPr="00276A8D">
        <w:rPr>
          <w:lang w:val="pt-BR"/>
        </w:rPr>
        <w:t xml:space="preserve">Este documento de arquitetura tem como finalidade descrever a estrutura e as principais decisões arquiteturais do </w:t>
      </w:r>
      <w:proofErr w:type="spellStart"/>
      <w:r w:rsidRPr="00276A8D">
        <w:rPr>
          <w:lang w:val="pt-BR"/>
        </w:rPr>
        <w:t>FundCalc</w:t>
      </w:r>
      <w:proofErr w:type="spellEnd"/>
      <w:r w:rsidRPr="00276A8D">
        <w:rPr>
          <w:lang w:val="pt-BR"/>
        </w:rPr>
        <w:t xml:space="preserve">, uma </w:t>
      </w:r>
      <w:r w:rsidR="00276A8D" w:rsidRPr="00276A8D">
        <w:rPr>
          <w:lang w:val="pt-BR"/>
        </w:rPr>
        <w:t>aplicação como</w:t>
      </w:r>
      <w:r w:rsidRPr="00276A8D">
        <w:rPr>
          <w:lang w:val="pt-BR"/>
        </w:rPr>
        <w:t xml:space="preserve"> Serviço (SaaS) para cálculo de fundações. A finalidade é fornecer uma visão clara da </w:t>
      </w:r>
      <w:r w:rsidR="00276A8D" w:rsidRPr="00276A8D">
        <w:rPr>
          <w:lang w:val="pt-BR"/>
        </w:rPr>
        <w:t>arquitetura</w:t>
      </w:r>
      <w:r w:rsidRPr="00276A8D">
        <w:rPr>
          <w:lang w:val="pt-BR"/>
        </w:rPr>
        <w:t xml:space="preserve"> da aplicação.</w:t>
      </w:r>
    </w:p>
    <w:p w14:paraId="6F8829A6" w14:textId="77777777" w:rsidR="00F962A2" w:rsidRPr="00276A8D" w:rsidRDefault="00000000">
      <w:pPr>
        <w:pStyle w:val="Ttulo2"/>
        <w:rPr>
          <w:lang w:val="pt-BR"/>
        </w:rPr>
      </w:pPr>
      <w:bookmarkStart w:id="2" w:name="padrão-arquitetural"/>
      <w:bookmarkEnd w:id="1"/>
      <w:r w:rsidRPr="00276A8D">
        <w:rPr>
          <w:lang w:val="pt-BR"/>
        </w:rPr>
        <w:t>2. Padrão Arquitetural</w:t>
      </w:r>
    </w:p>
    <w:p w14:paraId="55B2B0C0" w14:textId="2A5442E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O </w:t>
      </w:r>
      <w:proofErr w:type="spellStart"/>
      <w:r w:rsidRPr="00276A8D">
        <w:rPr>
          <w:b/>
          <w:bCs/>
          <w:lang w:val="pt-BR"/>
        </w:rPr>
        <w:t>FundCalc</w:t>
      </w:r>
      <w:proofErr w:type="spellEnd"/>
      <w:r w:rsidRPr="00276A8D">
        <w:rPr>
          <w:lang w:val="pt-BR"/>
        </w:rPr>
        <w:t xml:space="preserve"> segue a arquitetura hexagonal (Ports &amp; </w:t>
      </w:r>
      <w:proofErr w:type="spellStart"/>
      <w:r w:rsidRPr="00276A8D">
        <w:rPr>
          <w:lang w:val="pt-BR"/>
        </w:rPr>
        <w:t>Adapters</w:t>
      </w:r>
      <w:proofErr w:type="spellEnd"/>
      <w:r w:rsidRPr="00276A8D">
        <w:rPr>
          <w:lang w:val="pt-BR"/>
        </w:rPr>
        <w:t xml:space="preserve">. O sistema é dividido em quatro contextos principais – </w:t>
      </w:r>
      <w:r w:rsidRPr="00276A8D">
        <w:rPr>
          <w:b/>
          <w:bCs/>
          <w:lang w:val="pt-BR"/>
        </w:rPr>
        <w:t>Negócio</w:t>
      </w:r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Cálculo</w:t>
      </w:r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Análise Técnica/Relatórios</w:t>
      </w:r>
      <w:r w:rsidRPr="00276A8D">
        <w:rPr>
          <w:lang w:val="pt-BR"/>
        </w:rPr>
        <w:t xml:space="preserve"> e </w:t>
      </w:r>
      <w:r w:rsidRPr="00276A8D">
        <w:rPr>
          <w:b/>
          <w:bCs/>
          <w:lang w:val="pt-BR"/>
        </w:rPr>
        <w:t>Sincronização/Orquestração</w:t>
      </w:r>
      <w:r w:rsidRPr="00276A8D">
        <w:rPr>
          <w:lang w:val="pt-BR"/>
        </w:rPr>
        <w:t xml:space="preserve"> – para minimizar acoplamento entre domínios. Cada contexto expõe portas de entrada (APIs HTTP, eventos, </w:t>
      </w:r>
      <w:proofErr w:type="spellStart"/>
      <w:r w:rsidRPr="00276A8D">
        <w:rPr>
          <w:lang w:val="pt-BR"/>
        </w:rPr>
        <w:t>webhooks</w:t>
      </w:r>
      <w:proofErr w:type="spellEnd"/>
      <w:r w:rsidRPr="00276A8D">
        <w:rPr>
          <w:lang w:val="pt-BR"/>
        </w:rPr>
        <w:t xml:space="preserve">, </w:t>
      </w:r>
      <w:proofErr w:type="spellStart"/>
      <w:r w:rsidRPr="00276A8D">
        <w:rPr>
          <w:lang w:val="pt-BR"/>
        </w:rPr>
        <w:t>gRPC</w:t>
      </w:r>
      <w:proofErr w:type="spellEnd"/>
      <w:r w:rsidRPr="00276A8D">
        <w:rPr>
          <w:lang w:val="pt-BR"/>
        </w:rPr>
        <w:t xml:space="preserve">) e portas de saída (persistência, mensageria), com separação de comandos e consultas via </w:t>
      </w:r>
      <w:r w:rsidRPr="00276A8D">
        <w:rPr>
          <w:b/>
          <w:bCs/>
          <w:lang w:val="pt-BR"/>
        </w:rPr>
        <w:t>CQRS</w:t>
      </w:r>
      <w:r w:rsidRPr="00276A8D">
        <w:rPr>
          <w:lang w:val="pt-BR"/>
        </w:rPr>
        <w:t>.</w:t>
      </w:r>
    </w:p>
    <w:p w14:paraId="4333A1DF" w14:textId="04977976" w:rsidR="00F962A2" w:rsidRDefault="00000000">
      <w:pPr>
        <w:pStyle w:val="Ttulo2"/>
      </w:pPr>
      <w:bookmarkStart w:id="3" w:name="objetivos-arquiteturais"/>
      <w:bookmarkEnd w:id="2"/>
      <w:r>
        <w:t xml:space="preserve">3. Objetivos </w:t>
      </w:r>
    </w:p>
    <w:p w14:paraId="2ED5C5F9" w14:textId="53C091A1" w:rsidR="00F962A2" w:rsidRPr="00276A8D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276A8D">
        <w:rPr>
          <w:b/>
          <w:bCs/>
          <w:lang w:val="pt-BR"/>
        </w:rPr>
        <w:t xml:space="preserve">Isolamento </w:t>
      </w:r>
      <w:proofErr w:type="gramStart"/>
      <w:r w:rsidRPr="00276A8D">
        <w:rPr>
          <w:b/>
          <w:bCs/>
          <w:lang w:val="pt-BR"/>
        </w:rPr>
        <w:t>do  cálculo</w:t>
      </w:r>
      <w:proofErr w:type="gramEnd"/>
      <w:r w:rsidRPr="00276A8D">
        <w:rPr>
          <w:b/>
          <w:bCs/>
          <w:lang w:val="pt-BR"/>
        </w:rPr>
        <w:t>:</w:t>
      </w:r>
      <w:r w:rsidRPr="00276A8D">
        <w:rPr>
          <w:lang w:val="pt-BR"/>
        </w:rPr>
        <w:t xml:space="preserve"> manter o algoritmo de cálculo desacoplado do restante da aplicação e permitir sua execução determinística em </w:t>
      </w:r>
      <w:r w:rsidRPr="00276A8D">
        <w:rPr>
          <w:i/>
          <w:iCs/>
          <w:lang w:val="pt-BR"/>
        </w:rPr>
        <w:t>batch</w:t>
      </w:r>
      <w:r w:rsidRPr="00276A8D">
        <w:rPr>
          <w:lang w:val="pt-BR"/>
        </w:rPr>
        <w:t xml:space="preserve"> ou no dispositivo local, mesmo em modo offline.</w:t>
      </w:r>
    </w:p>
    <w:p w14:paraId="5A18B2C1" w14:textId="77777777" w:rsidR="00F962A2" w:rsidRPr="00276A8D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276A8D">
        <w:rPr>
          <w:b/>
          <w:bCs/>
          <w:lang w:val="pt-BR"/>
        </w:rPr>
        <w:t>Modularização forte por domínio:</w:t>
      </w:r>
      <w:r w:rsidRPr="00276A8D">
        <w:rPr>
          <w:lang w:val="pt-BR"/>
        </w:rPr>
        <w:t xml:space="preserve"> evitar acoplamento entre contextos e facilitar a evolução independente de cada módulo.</w:t>
      </w:r>
    </w:p>
    <w:p w14:paraId="008E7307" w14:textId="77777777" w:rsidR="00F962A2" w:rsidRPr="00276A8D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276A8D">
        <w:rPr>
          <w:b/>
          <w:bCs/>
          <w:lang w:val="pt-BR"/>
        </w:rPr>
        <w:t>Integridade e auditoria:</w:t>
      </w:r>
      <w:r w:rsidRPr="00276A8D">
        <w:rPr>
          <w:lang w:val="pt-BR"/>
        </w:rPr>
        <w:t xml:space="preserve"> garantir versionamento de parâmetros, persistência de eventos e rastreabilidade dos resultados por meio de auditoria e quotas de uso.</w:t>
      </w:r>
    </w:p>
    <w:p w14:paraId="73DF9002" w14:textId="77777777" w:rsidR="00F962A2" w:rsidRPr="00276A8D" w:rsidRDefault="00000000">
      <w:pPr>
        <w:pStyle w:val="Ttulo2"/>
        <w:rPr>
          <w:lang w:val="pt-BR"/>
        </w:rPr>
      </w:pPr>
      <w:bookmarkStart w:id="4" w:name="bounded-contexts"/>
      <w:bookmarkEnd w:id="3"/>
      <w:r w:rsidRPr="00276A8D">
        <w:rPr>
          <w:lang w:val="pt-BR"/>
        </w:rPr>
        <w:t xml:space="preserve">4. </w:t>
      </w:r>
      <w:proofErr w:type="spellStart"/>
      <w:r w:rsidRPr="00276A8D">
        <w:rPr>
          <w:lang w:val="pt-BR"/>
        </w:rPr>
        <w:t>Bounded</w:t>
      </w:r>
      <w:proofErr w:type="spellEnd"/>
      <w:r w:rsidRPr="00276A8D">
        <w:rPr>
          <w:lang w:val="pt-BR"/>
        </w:rPr>
        <w:t xml:space="preserve"> </w:t>
      </w:r>
      <w:proofErr w:type="spellStart"/>
      <w:r w:rsidRPr="00276A8D">
        <w:rPr>
          <w:lang w:val="pt-BR"/>
        </w:rPr>
        <w:t>Contexts</w:t>
      </w:r>
      <w:proofErr w:type="spellEnd"/>
    </w:p>
    <w:p w14:paraId="62A48CF8" w14:textId="5E844D51" w:rsidR="00F962A2" w:rsidRPr="00276A8D" w:rsidRDefault="00000000">
      <w:pPr>
        <w:pStyle w:val="Ttulo3"/>
        <w:rPr>
          <w:lang w:val="pt-BR"/>
        </w:rPr>
      </w:pPr>
      <w:bookmarkStart w:id="5" w:name="negóciocare"/>
      <w:r w:rsidRPr="00276A8D">
        <w:rPr>
          <w:lang w:val="pt-BR"/>
        </w:rPr>
        <w:t>4.1 Negócio/C</w:t>
      </w:r>
      <w:r w:rsidR="00FB7821">
        <w:rPr>
          <w:lang w:val="pt-BR"/>
        </w:rPr>
        <w:t>o</w:t>
      </w:r>
      <w:r w:rsidRPr="00276A8D">
        <w:rPr>
          <w:lang w:val="pt-BR"/>
        </w:rPr>
        <w:t>re</w:t>
      </w:r>
    </w:p>
    <w:p w14:paraId="5DC0EF37" w14:textId="7777777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Responsável pelo gerenciamento de </w:t>
      </w:r>
      <w:r w:rsidRPr="00276A8D">
        <w:rPr>
          <w:b/>
          <w:bCs/>
          <w:lang w:val="pt-BR"/>
        </w:rPr>
        <w:t>usuários</w:t>
      </w:r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licenças</w:t>
      </w:r>
      <w:r w:rsidRPr="00276A8D">
        <w:rPr>
          <w:lang w:val="pt-BR"/>
        </w:rPr>
        <w:t xml:space="preserve"> e </w:t>
      </w:r>
      <w:r w:rsidRPr="00276A8D">
        <w:rPr>
          <w:b/>
          <w:bCs/>
          <w:lang w:val="pt-BR"/>
        </w:rPr>
        <w:t>assinaturas</w:t>
      </w:r>
      <w:r w:rsidRPr="00276A8D">
        <w:rPr>
          <w:lang w:val="pt-BR"/>
        </w:rPr>
        <w:t xml:space="preserve">, autenticação e autorização, operação offline, cobrança e cancelamento/recuperação. É implementado pelo módulo </w:t>
      </w:r>
      <w:proofErr w:type="spellStart"/>
      <w:r w:rsidRPr="00276A8D">
        <w:rPr>
          <w:rStyle w:val="VerbatimChar"/>
          <w:lang w:val="pt-BR"/>
        </w:rPr>
        <w:t>api_negocial_process</w:t>
      </w:r>
      <w:proofErr w:type="spellEnd"/>
      <w:r w:rsidRPr="00276A8D">
        <w:rPr>
          <w:lang w:val="pt-BR"/>
        </w:rPr>
        <w:t xml:space="preserve"> (Spring Web). As portas de entrada incluem APIs HTTP e </w:t>
      </w:r>
      <w:proofErr w:type="spellStart"/>
      <w:r w:rsidRPr="00276A8D">
        <w:rPr>
          <w:i/>
          <w:iCs/>
          <w:lang w:val="pt-BR"/>
        </w:rPr>
        <w:t>webhooks</w:t>
      </w:r>
      <w:proofErr w:type="spellEnd"/>
      <w:r w:rsidRPr="00276A8D">
        <w:rPr>
          <w:lang w:val="pt-BR"/>
        </w:rPr>
        <w:t xml:space="preserve"> de pagamento; as portas de saída compreendem a persistência via </w:t>
      </w:r>
      <w:r w:rsidRPr="00276A8D">
        <w:rPr>
          <w:b/>
          <w:bCs/>
          <w:lang w:val="pt-BR"/>
        </w:rPr>
        <w:t>JPA</w:t>
      </w:r>
      <w:r w:rsidRPr="00276A8D">
        <w:rPr>
          <w:lang w:val="pt-BR"/>
        </w:rPr>
        <w:t xml:space="preserve"> e mensageria para disparo de eventos. As principais entidades são </w:t>
      </w:r>
      <w:r w:rsidRPr="00276A8D">
        <w:rPr>
          <w:b/>
          <w:bCs/>
          <w:lang w:val="pt-BR"/>
        </w:rPr>
        <w:t>Conta de Usuário</w:t>
      </w:r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Licença</w:t>
      </w:r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Assinatura</w:t>
      </w:r>
      <w:r w:rsidRPr="00276A8D">
        <w:rPr>
          <w:lang w:val="pt-BR"/>
        </w:rPr>
        <w:t xml:space="preserve"> e </w:t>
      </w:r>
      <w:r w:rsidRPr="00276A8D">
        <w:rPr>
          <w:b/>
          <w:bCs/>
          <w:lang w:val="pt-BR"/>
        </w:rPr>
        <w:t>Pagamento</w:t>
      </w:r>
      <w:r w:rsidRPr="00276A8D">
        <w:rPr>
          <w:lang w:val="pt-BR"/>
        </w:rPr>
        <w:t>.</w:t>
      </w:r>
    </w:p>
    <w:p w14:paraId="4DA60B1D" w14:textId="77777777" w:rsidR="00F962A2" w:rsidRPr="00276A8D" w:rsidRDefault="00000000">
      <w:pPr>
        <w:pStyle w:val="Ttulo3"/>
        <w:rPr>
          <w:lang w:val="pt-BR"/>
        </w:rPr>
      </w:pPr>
      <w:bookmarkStart w:id="6" w:name="cálculo"/>
      <w:bookmarkEnd w:id="5"/>
      <w:r w:rsidRPr="00276A8D">
        <w:rPr>
          <w:lang w:val="pt-BR"/>
        </w:rPr>
        <w:t>4.2 Cálculo</w:t>
      </w:r>
    </w:p>
    <w:p w14:paraId="76053438" w14:textId="6E90550A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Proporciona o cálculo determinístico para </w:t>
      </w:r>
      <w:r w:rsidRPr="00276A8D">
        <w:rPr>
          <w:b/>
          <w:bCs/>
          <w:lang w:val="pt-BR"/>
        </w:rPr>
        <w:t xml:space="preserve">sapatas, estacas, blocos, </w:t>
      </w:r>
      <w:r w:rsidRPr="00276A8D">
        <w:rPr>
          <w:lang w:val="pt-BR"/>
        </w:rPr>
        <w:t xml:space="preserve">é distribuído como </w:t>
      </w:r>
      <w:proofErr w:type="spellStart"/>
      <w:r w:rsidRPr="00276A8D">
        <w:rPr>
          <w:rStyle w:val="VerbatimChar"/>
          <w:lang w:val="pt-BR"/>
        </w:rPr>
        <w:t>api_batch_process</w:t>
      </w:r>
      <w:proofErr w:type="spellEnd"/>
      <w:r w:rsidRPr="00276A8D">
        <w:rPr>
          <w:lang w:val="pt-BR"/>
        </w:rPr>
        <w:t xml:space="preserve"> (módulo </w:t>
      </w:r>
      <w:proofErr w:type="spellStart"/>
      <w:r w:rsidRPr="00276A8D">
        <w:rPr>
          <w:i/>
          <w:iCs/>
          <w:lang w:val="pt-BR"/>
        </w:rPr>
        <w:t>jar</w:t>
      </w:r>
      <w:proofErr w:type="spellEnd"/>
      <w:r w:rsidRPr="00276A8D">
        <w:rPr>
          <w:lang w:val="pt-BR"/>
        </w:rPr>
        <w:t xml:space="preserve">) executado em </w:t>
      </w:r>
      <w:r w:rsidRPr="00276A8D">
        <w:rPr>
          <w:i/>
          <w:iCs/>
          <w:lang w:val="pt-BR"/>
        </w:rPr>
        <w:t>batch</w:t>
      </w:r>
      <w:r w:rsidRPr="00276A8D">
        <w:rPr>
          <w:lang w:val="pt-BR"/>
        </w:rPr>
        <w:t xml:space="preserve"> e embarcado no </w:t>
      </w:r>
      <w:r w:rsidRPr="00276A8D">
        <w:rPr>
          <w:lang w:val="pt-BR"/>
        </w:rPr>
        <w:lastRenderedPageBreak/>
        <w:t xml:space="preserve">aplicativo local. Inclui validações e normalização de unidades. A porta de entrada é o serviço </w:t>
      </w:r>
      <w:proofErr w:type="spellStart"/>
      <w:r w:rsidRPr="00276A8D">
        <w:rPr>
          <w:rStyle w:val="VerbatimChar"/>
          <w:lang w:val="pt-BR"/>
        </w:rPr>
        <w:t>localhostCalculator</w:t>
      </w:r>
      <w:proofErr w:type="spellEnd"/>
      <w:r w:rsidRPr="00276A8D">
        <w:rPr>
          <w:lang w:val="pt-BR"/>
        </w:rPr>
        <w:t xml:space="preserve">, invocado pelo aplicativo. As portas de saída englobam a persistência de resultados e a publicação de eventos </w:t>
      </w:r>
      <w:r w:rsidRPr="00276A8D">
        <w:rPr>
          <w:rStyle w:val="VerbatimChar"/>
          <w:lang w:val="pt-BR"/>
        </w:rPr>
        <w:t>Resultado</w:t>
      </w:r>
      <w:r w:rsidR="00FB7821">
        <w:rPr>
          <w:rStyle w:val="VerbatimChar"/>
          <w:lang w:val="pt-BR"/>
        </w:rPr>
        <w:t xml:space="preserve"> </w:t>
      </w:r>
      <w:r w:rsidRPr="00276A8D">
        <w:rPr>
          <w:rStyle w:val="VerbatimChar"/>
          <w:lang w:val="pt-BR"/>
        </w:rPr>
        <w:t>Calculado</w:t>
      </w:r>
      <w:r w:rsidRPr="00276A8D">
        <w:rPr>
          <w:lang w:val="pt-BR"/>
        </w:rPr>
        <w:t>. O motor é isolado do framework para permitir reutilização em diferentes ambientes.</w:t>
      </w:r>
    </w:p>
    <w:p w14:paraId="40B13CA2" w14:textId="77777777" w:rsidR="00F962A2" w:rsidRPr="00276A8D" w:rsidRDefault="00000000">
      <w:pPr>
        <w:pStyle w:val="Ttulo3"/>
        <w:rPr>
          <w:lang w:val="pt-BR"/>
        </w:rPr>
      </w:pPr>
      <w:bookmarkStart w:id="7" w:name="análise-técnica"/>
      <w:bookmarkEnd w:id="6"/>
      <w:r w:rsidRPr="00276A8D">
        <w:rPr>
          <w:lang w:val="pt-BR"/>
        </w:rPr>
        <w:t>4.3 Análise Técnica</w:t>
      </w:r>
    </w:p>
    <w:p w14:paraId="6A6FE917" w14:textId="7777777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Compõe o </w:t>
      </w:r>
      <w:r w:rsidRPr="00276A8D">
        <w:rPr>
          <w:b/>
          <w:bCs/>
          <w:lang w:val="pt-BR"/>
        </w:rPr>
        <w:t>parecer técnico</w:t>
      </w:r>
      <w:r w:rsidRPr="00276A8D">
        <w:rPr>
          <w:lang w:val="pt-BR"/>
        </w:rPr>
        <w:t xml:space="preserve"> a partir dos dados do Negócio e dos resultados de Cálculo. Aplica regras normativas (como </w:t>
      </w:r>
      <w:proofErr w:type="spellStart"/>
      <w:r w:rsidRPr="00276A8D">
        <w:rPr>
          <w:lang w:val="pt-BR"/>
        </w:rPr>
        <w:t>NBRs</w:t>
      </w:r>
      <w:proofErr w:type="spellEnd"/>
      <w:r w:rsidRPr="00276A8D">
        <w:rPr>
          <w:lang w:val="pt-BR"/>
        </w:rPr>
        <w:t xml:space="preserve">) e gera o </w:t>
      </w:r>
      <w:r w:rsidRPr="00276A8D">
        <w:rPr>
          <w:b/>
          <w:bCs/>
          <w:lang w:val="pt-BR"/>
        </w:rPr>
        <w:t>PDF oficial</w:t>
      </w:r>
      <w:r w:rsidRPr="00276A8D">
        <w:rPr>
          <w:lang w:val="pt-BR"/>
        </w:rPr>
        <w:t xml:space="preserve"> do relatório. É implementado pelo módulo </w:t>
      </w:r>
      <w:proofErr w:type="spellStart"/>
      <w:r w:rsidRPr="00276A8D">
        <w:rPr>
          <w:rStyle w:val="VerbatimChar"/>
          <w:lang w:val="pt-BR"/>
        </w:rPr>
        <w:t>api_tech_analysis_process</w:t>
      </w:r>
      <w:proofErr w:type="spellEnd"/>
      <w:r w:rsidRPr="00276A8D">
        <w:rPr>
          <w:lang w:val="pt-BR"/>
        </w:rPr>
        <w:t xml:space="preserve"> (</w:t>
      </w:r>
      <w:proofErr w:type="spellStart"/>
      <w:r w:rsidRPr="00276A8D">
        <w:rPr>
          <w:lang w:val="pt-BR"/>
        </w:rPr>
        <w:t>jar</w:t>
      </w:r>
      <w:proofErr w:type="spellEnd"/>
      <w:r w:rsidRPr="00276A8D">
        <w:rPr>
          <w:lang w:val="pt-BR"/>
        </w:rPr>
        <w:t>) com portas de entrada para recebimento de dados (</w:t>
      </w:r>
      <w:proofErr w:type="spellStart"/>
      <w:r w:rsidRPr="00276A8D">
        <w:rPr>
          <w:rStyle w:val="VerbatimChar"/>
          <w:lang w:val="pt-BR"/>
        </w:rPr>
        <w:t>GeraParecer</w:t>
      </w:r>
      <w:proofErr w:type="spellEnd"/>
      <w:r w:rsidRPr="00276A8D">
        <w:rPr>
          <w:lang w:val="pt-BR"/>
        </w:rPr>
        <w:t xml:space="preserve">) e portas de saída para armazenamento do PDF e emissão de eventos </w:t>
      </w:r>
      <w:proofErr w:type="spellStart"/>
      <w:r w:rsidRPr="00276A8D">
        <w:rPr>
          <w:rStyle w:val="VerbatimChar"/>
          <w:lang w:val="pt-BR"/>
        </w:rPr>
        <w:t>RelatorioGerado</w:t>
      </w:r>
      <w:proofErr w:type="spellEnd"/>
      <w:r w:rsidRPr="00276A8D">
        <w:rPr>
          <w:lang w:val="pt-BR"/>
        </w:rPr>
        <w:t>. No modo offline, existe uma versão alternativa em memória para uso no aplicativo local.</w:t>
      </w:r>
    </w:p>
    <w:p w14:paraId="624E1A2E" w14:textId="77777777" w:rsidR="00F962A2" w:rsidRPr="00276A8D" w:rsidRDefault="00000000">
      <w:pPr>
        <w:pStyle w:val="Ttulo3"/>
        <w:rPr>
          <w:lang w:val="pt-BR"/>
        </w:rPr>
      </w:pPr>
      <w:bookmarkStart w:id="8" w:name="sincronizaçãoorquestração"/>
      <w:bookmarkEnd w:id="7"/>
      <w:r w:rsidRPr="00276A8D">
        <w:rPr>
          <w:lang w:val="pt-BR"/>
        </w:rPr>
        <w:t>4.4 Sincronização/Orquestração</w:t>
      </w:r>
    </w:p>
    <w:p w14:paraId="694F3618" w14:textId="7777777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Implementado pelo módulo </w:t>
      </w:r>
      <w:proofErr w:type="spellStart"/>
      <w:r w:rsidRPr="00276A8D">
        <w:rPr>
          <w:rStyle w:val="VerbatimChar"/>
          <w:lang w:val="pt-BR"/>
        </w:rPr>
        <w:t>api_sync_process</w:t>
      </w:r>
      <w:proofErr w:type="spellEnd"/>
      <w:r w:rsidRPr="00276A8D">
        <w:rPr>
          <w:lang w:val="pt-BR"/>
        </w:rPr>
        <w:t xml:space="preserve">, esse contexto gerencia a comunicação entre o núcleo e o aplicativo local. Utiliza um </w:t>
      </w:r>
      <w:r w:rsidRPr="00276A8D">
        <w:rPr>
          <w:b/>
          <w:bCs/>
          <w:lang w:val="pt-BR"/>
        </w:rPr>
        <w:t>protocolo offline-</w:t>
      </w:r>
      <w:proofErr w:type="spellStart"/>
      <w:r w:rsidRPr="00276A8D">
        <w:rPr>
          <w:b/>
          <w:bCs/>
          <w:lang w:val="pt-BR"/>
        </w:rPr>
        <w:t>first</w:t>
      </w:r>
      <w:proofErr w:type="spellEnd"/>
      <w:r w:rsidRPr="00276A8D">
        <w:rPr>
          <w:lang w:val="pt-BR"/>
        </w:rPr>
        <w:t xml:space="preserve"> baseado em eventos (</w:t>
      </w:r>
      <w:proofErr w:type="spellStart"/>
      <w:r w:rsidRPr="00276A8D">
        <w:rPr>
          <w:i/>
          <w:iCs/>
          <w:lang w:val="pt-BR"/>
        </w:rPr>
        <w:t>append-only</w:t>
      </w:r>
      <w:proofErr w:type="spellEnd"/>
      <w:r w:rsidRPr="00276A8D">
        <w:rPr>
          <w:lang w:val="pt-BR"/>
        </w:rPr>
        <w:t xml:space="preserve">), validação e reconciliação com semântica por agregados, </w:t>
      </w:r>
      <w:proofErr w:type="spellStart"/>
      <w:r w:rsidRPr="00276A8D">
        <w:rPr>
          <w:lang w:val="pt-BR"/>
        </w:rPr>
        <w:t>idempotência</w:t>
      </w:r>
      <w:proofErr w:type="spellEnd"/>
      <w:r w:rsidRPr="00276A8D">
        <w:rPr>
          <w:lang w:val="pt-BR"/>
        </w:rPr>
        <w:t xml:space="preserve">, padrões </w:t>
      </w:r>
      <w:proofErr w:type="spellStart"/>
      <w:r w:rsidRPr="00276A8D">
        <w:rPr>
          <w:i/>
          <w:iCs/>
          <w:lang w:val="pt-BR"/>
        </w:rPr>
        <w:t>outbox</w:t>
      </w:r>
      <w:proofErr w:type="spellEnd"/>
      <w:r w:rsidRPr="00276A8D">
        <w:rPr>
          <w:i/>
          <w:iCs/>
          <w:lang w:val="pt-BR"/>
        </w:rPr>
        <w:t>/inbox</w:t>
      </w:r>
      <w:r w:rsidRPr="00276A8D">
        <w:rPr>
          <w:lang w:val="pt-BR"/>
        </w:rPr>
        <w:t xml:space="preserve"> e </w:t>
      </w:r>
      <w:r w:rsidRPr="00276A8D">
        <w:rPr>
          <w:i/>
          <w:iCs/>
          <w:lang w:val="pt-BR"/>
        </w:rPr>
        <w:t>checkpoints</w:t>
      </w:r>
      <w:r w:rsidRPr="00276A8D">
        <w:rPr>
          <w:lang w:val="pt-BR"/>
        </w:rPr>
        <w:t xml:space="preserve">. Resolve conflitos de dados entre domínios (por exemplo, parâmetros geotécnicos versus informações de licenças) antes de sincronizar com o banco central. Permite que o aplicativo funcione de forma offline e sincronize posteriormente com o servidor </w:t>
      </w:r>
      <w:r w:rsidRPr="00276A8D">
        <w:rPr>
          <w:b/>
          <w:bCs/>
          <w:lang w:val="pt-BR"/>
        </w:rPr>
        <w:t>PostgreSQL</w:t>
      </w:r>
      <w:r w:rsidRPr="00276A8D">
        <w:rPr>
          <w:lang w:val="pt-BR"/>
        </w:rPr>
        <w:t>.</w:t>
      </w:r>
    </w:p>
    <w:p w14:paraId="1EDB1954" w14:textId="77777777" w:rsidR="00F962A2" w:rsidRDefault="00000000">
      <w:pPr>
        <w:pStyle w:val="Ttulo2"/>
      </w:pPr>
      <w:bookmarkStart w:id="9" w:name="módulos-principais"/>
      <w:bookmarkEnd w:id="4"/>
      <w:bookmarkEnd w:id="8"/>
      <w:r>
        <w:t>5. Módulos Principais</w:t>
      </w:r>
    </w:p>
    <w:p w14:paraId="5667607D" w14:textId="38680FB0" w:rsidR="00F962A2" w:rsidRDefault="00000000">
      <w:pPr>
        <w:pStyle w:val="Compact"/>
        <w:numPr>
          <w:ilvl w:val="0"/>
          <w:numId w:val="3"/>
        </w:numPr>
      </w:pPr>
      <w:r w:rsidRPr="00276A8D">
        <w:rPr>
          <w:b/>
          <w:bCs/>
          <w:lang w:val="pt-BR"/>
        </w:rPr>
        <w:t>Identidade e Autenticação</w:t>
      </w:r>
      <w:r w:rsidRPr="00276A8D">
        <w:rPr>
          <w:lang w:val="pt-BR"/>
        </w:rPr>
        <w:t xml:space="preserve"> – gerencia usuários, credenciais, autenticação multifator e tokens de sessão. </w:t>
      </w:r>
    </w:p>
    <w:p w14:paraId="56ED855C" w14:textId="77777777" w:rsidR="00F962A2" w:rsidRPr="00276A8D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276A8D">
        <w:rPr>
          <w:b/>
          <w:bCs/>
          <w:lang w:val="pt-BR"/>
        </w:rPr>
        <w:t xml:space="preserve">Licenciamento e </w:t>
      </w:r>
      <w:proofErr w:type="spellStart"/>
      <w:r w:rsidRPr="00276A8D">
        <w:rPr>
          <w:b/>
          <w:bCs/>
          <w:lang w:val="pt-BR"/>
        </w:rPr>
        <w:t>Billing</w:t>
      </w:r>
      <w:proofErr w:type="spellEnd"/>
      <w:r w:rsidRPr="00276A8D">
        <w:rPr>
          <w:lang w:val="pt-BR"/>
        </w:rPr>
        <w:t xml:space="preserve"> – controla planos de licenças, métodos de pagamento e cobranças recorrentes. Integra gateways de pagamento e acompanha o ciclo de vida das assinaturas.</w:t>
      </w:r>
    </w:p>
    <w:p w14:paraId="7121EE1D" w14:textId="77777777" w:rsidR="00F962A2" w:rsidRDefault="00000000">
      <w:pPr>
        <w:pStyle w:val="Compact"/>
        <w:numPr>
          <w:ilvl w:val="0"/>
          <w:numId w:val="3"/>
        </w:numPr>
      </w:pPr>
      <w:r w:rsidRPr="00276A8D">
        <w:rPr>
          <w:b/>
          <w:bCs/>
          <w:lang w:val="pt-BR"/>
        </w:rPr>
        <w:t>Gestão de Projetos e Parâmetros</w:t>
      </w:r>
      <w:r w:rsidRPr="00276A8D">
        <w:rPr>
          <w:lang w:val="pt-BR"/>
        </w:rPr>
        <w:t xml:space="preserve"> – administra projetos de fundações, dados geotécnicos, materiais e cargas.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parametrização</w:t>
      </w:r>
      <w:proofErr w:type="spellEnd"/>
      <w:r>
        <w:t xml:space="preserve"> de unidades e normas de cálculo.</w:t>
      </w:r>
    </w:p>
    <w:p w14:paraId="3DB8CA9E" w14:textId="2126B8B3" w:rsidR="00F962A2" w:rsidRPr="00276A8D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276A8D">
        <w:rPr>
          <w:b/>
          <w:bCs/>
          <w:lang w:val="pt-BR"/>
        </w:rPr>
        <w:t>Cálculo</w:t>
      </w:r>
      <w:r w:rsidRPr="00276A8D">
        <w:rPr>
          <w:lang w:val="pt-BR"/>
        </w:rPr>
        <w:t xml:space="preserve"> – contém os algoritmos de dimensionamento de sapatas, estacas, s, </w:t>
      </w:r>
      <w:proofErr w:type="gramStart"/>
      <w:r w:rsidR="00276A8D">
        <w:rPr>
          <w:lang w:val="pt-BR"/>
        </w:rPr>
        <w:t xml:space="preserve">Fundações </w:t>
      </w:r>
      <w:r w:rsidRPr="00276A8D">
        <w:rPr>
          <w:lang w:val="pt-BR"/>
        </w:rPr>
        <w:t xml:space="preserve"> etc.</w:t>
      </w:r>
      <w:proofErr w:type="gramEnd"/>
      <w:r w:rsidRPr="00276A8D">
        <w:rPr>
          <w:lang w:val="pt-BR"/>
        </w:rPr>
        <w:t xml:space="preserve">, com validações e normalização de unidades. É executado em </w:t>
      </w:r>
      <w:r w:rsidRPr="00276A8D">
        <w:rPr>
          <w:i/>
          <w:iCs/>
          <w:lang w:val="pt-BR"/>
        </w:rPr>
        <w:t>batch</w:t>
      </w:r>
      <w:r w:rsidRPr="00276A8D">
        <w:rPr>
          <w:lang w:val="pt-BR"/>
        </w:rPr>
        <w:t xml:space="preserve"> ou localmente no aplicativo.</w:t>
      </w:r>
    </w:p>
    <w:p w14:paraId="7541E171" w14:textId="77777777" w:rsidR="00F962A2" w:rsidRPr="00276A8D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276A8D">
        <w:rPr>
          <w:b/>
          <w:bCs/>
          <w:lang w:val="pt-BR"/>
        </w:rPr>
        <w:t>Análise Técnica e Relatórios</w:t>
      </w:r>
      <w:r w:rsidRPr="00276A8D">
        <w:rPr>
          <w:lang w:val="pt-BR"/>
        </w:rPr>
        <w:t xml:space="preserve"> – compõe e gera relatórios técnicos em PDF com base nos modelos normativos e nos resultados de cálculo.</w:t>
      </w:r>
    </w:p>
    <w:p w14:paraId="7B72A847" w14:textId="77777777" w:rsidR="00F962A2" w:rsidRPr="00276A8D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276A8D">
        <w:rPr>
          <w:b/>
          <w:bCs/>
          <w:lang w:val="pt-BR"/>
        </w:rPr>
        <w:t>Sincronização e Resolução de Conflitos</w:t>
      </w:r>
      <w:r w:rsidRPr="00276A8D">
        <w:rPr>
          <w:lang w:val="pt-BR"/>
        </w:rPr>
        <w:t xml:space="preserve"> – gerencia o armazenamento de eventos, o estado local versus servidor e as políticas de mesclagem por agregado, garantindo consistência e auditabilidade.</w:t>
      </w:r>
    </w:p>
    <w:p w14:paraId="78AEB249" w14:textId="77777777" w:rsidR="00F962A2" w:rsidRPr="00276A8D" w:rsidRDefault="00000000">
      <w:pPr>
        <w:pStyle w:val="Ttulo2"/>
        <w:rPr>
          <w:lang w:val="pt-BR"/>
        </w:rPr>
      </w:pPr>
      <w:bookmarkStart w:id="10" w:name="fluxo-de-dados-e-camadas"/>
      <w:bookmarkEnd w:id="9"/>
      <w:r w:rsidRPr="00276A8D">
        <w:rPr>
          <w:lang w:val="pt-BR"/>
        </w:rPr>
        <w:t>6. Fluxo de Dados e Camadas</w:t>
      </w:r>
    </w:p>
    <w:p w14:paraId="60FA9C85" w14:textId="7777777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O aplicativo local utiliza um </w:t>
      </w:r>
      <w:r w:rsidRPr="00276A8D">
        <w:rPr>
          <w:b/>
          <w:bCs/>
          <w:lang w:val="pt-BR"/>
        </w:rPr>
        <w:t xml:space="preserve">banco </w:t>
      </w:r>
      <w:proofErr w:type="spellStart"/>
      <w:r w:rsidRPr="00276A8D">
        <w:rPr>
          <w:b/>
          <w:bCs/>
          <w:lang w:val="pt-BR"/>
        </w:rPr>
        <w:t>SQLite</w:t>
      </w:r>
      <w:proofErr w:type="spellEnd"/>
      <w:r w:rsidRPr="00276A8D">
        <w:rPr>
          <w:lang w:val="pt-BR"/>
        </w:rPr>
        <w:t xml:space="preserve"> para armazenar dados de usuários, projetos, parâmetros e resultados de cálculo. A camada de sincronização captura eventos gerados nos domínios e envia </w:t>
      </w:r>
      <w:r w:rsidRPr="00276A8D">
        <w:rPr>
          <w:b/>
          <w:bCs/>
          <w:lang w:val="pt-BR"/>
        </w:rPr>
        <w:t>deltas</w:t>
      </w:r>
      <w:r w:rsidRPr="00276A8D">
        <w:rPr>
          <w:lang w:val="pt-BR"/>
        </w:rPr>
        <w:t xml:space="preserve"> para o servidor central, persistindo-os </w:t>
      </w:r>
      <w:r w:rsidRPr="00276A8D">
        <w:rPr>
          <w:lang w:val="pt-BR"/>
        </w:rPr>
        <w:lastRenderedPageBreak/>
        <w:t xml:space="preserve">em </w:t>
      </w:r>
      <w:r w:rsidRPr="00276A8D">
        <w:rPr>
          <w:b/>
          <w:bCs/>
          <w:lang w:val="pt-BR"/>
        </w:rPr>
        <w:t>PostgreSQL</w:t>
      </w:r>
      <w:r w:rsidRPr="00276A8D">
        <w:rPr>
          <w:lang w:val="pt-BR"/>
        </w:rPr>
        <w:t xml:space="preserve">. As camadas de serviço </w:t>
      </w:r>
      <w:proofErr w:type="spellStart"/>
      <w:r w:rsidRPr="00276A8D">
        <w:rPr>
          <w:rStyle w:val="VerbatimChar"/>
          <w:lang w:val="pt-BR"/>
        </w:rPr>
        <w:t>api_local</w:t>
      </w:r>
      <w:proofErr w:type="spellEnd"/>
      <w:r w:rsidRPr="00276A8D">
        <w:rPr>
          <w:lang w:val="pt-BR"/>
        </w:rPr>
        <w:t xml:space="preserve"> e </w:t>
      </w:r>
      <w:proofErr w:type="spellStart"/>
      <w:r w:rsidRPr="00276A8D">
        <w:rPr>
          <w:rStyle w:val="VerbatimChar"/>
          <w:lang w:val="pt-BR"/>
        </w:rPr>
        <w:t>api_sync_process</w:t>
      </w:r>
      <w:proofErr w:type="spellEnd"/>
      <w:r w:rsidRPr="00276A8D">
        <w:rPr>
          <w:lang w:val="pt-BR"/>
        </w:rPr>
        <w:t xml:space="preserve"> expõem operações para cadastro, cálculo, geração de relatórios e sincronização. A comunicação entre contextos ocorre via eventos e pelas portas definidas (HTTP, </w:t>
      </w:r>
      <w:proofErr w:type="spellStart"/>
      <w:r w:rsidRPr="00276A8D">
        <w:rPr>
          <w:lang w:val="pt-BR"/>
        </w:rPr>
        <w:t>gRPC</w:t>
      </w:r>
      <w:proofErr w:type="spellEnd"/>
      <w:r w:rsidRPr="00276A8D">
        <w:rPr>
          <w:lang w:val="pt-BR"/>
        </w:rPr>
        <w:t>, filas de mensageria).</w:t>
      </w:r>
    </w:p>
    <w:p w14:paraId="095379DB" w14:textId="77777777" w:rsidR="00F962A2" w:rsidRPr="00276A8D" w:rsidRDefault="00000000">
      <w:pPr>
        <w:pStyle w:val="Ttulo2"/>
        <w:rPr>
          <w:lang w:val="pt-BR"/>
        </w:rPr>
      </w:pPr>
      <w:bookmarkStart w:id="11" w:name="visão-de-componentes-e-diagramas"/>
      <w:bookmarkEnd w:id="10"/>
      <w:r w:rsidRPr="00276A8D">
        <w:rPr>
          <w:lang w:val="pt-BR"/>
        </w:rPr>
        <w:t>7. Visão de Componentes e Diagramas</w:t>
      </w:r>
    </w:p>
    <w:p w14:paraId="62766A5F" w14:textId="7777777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A Figura 1 apresenta o </w:t>
      </w:r>
      <w:r w:rsidRPr="00276A8D">
        <w:rPr>
          <w:b/>
          <w:bCs/>
          <w:lang w:val="pt-BR"/>
        </w:rPr>
        <w:t>diagrama contextual</w:t>
      </w:r>
      <w:r w:rsidRPr="00276A8D">
        <w:rPr>
          <w:lang w:val="pt-BR"/>
        </w:rPr>
        <w:t xml:space="preserve"> de </w:t>
      </w:r>
      <w:proofErr w:type="spellStart"/>
      <w:r w:rsidRPr="00276A8D">
        <w:rPr>
          <w:lang w:val="pt-BR"/>
        </w:rPr>
        <w:t>bounded</w:t>
      </w:r>
      <w:proofErr w:type="spellEnd"/>
      <w:r w:rsidRPr="00276A8D">
        <w:rPr>
          <w:lang w:val="pt-BR"/>
        </w:rPr>
        <w:t xml:space="preserve"> </w:t>
      </w:r>
      <w:proofErr w:type="spellStart"/>
      <w:r w:rsidRPr="00276A8D">
        <w:rPr>
          <w:lang w:val="pt-BR"/>
        </w:rPr>
        <w:t>contexts</w:t>
      </w:r>
      <w:proofErr w:type="spellEnd"/>
      <w:r w:rsidRPr="00276A8D">
        <w:rPr>
          <w:lang w:val="pt-BR"/>
        </w:rPr>
        <w:t xml:space="preserve"> e módulos do </w:t>
      </w:r>
      <w:proofErr w:type="spellStart"/>
      <w:r w:rsidRPr="00276A8D">
        <w:rPr>
          <w:lang w:val="pt-BR"/>
        </w:rPr>
        <w:t>FundCalc</w:t>
      </w:r>
      <w:proofErr w:type="spellEnd"/>
      <w:r w:rsidRPr="00276A8D">
        <w:rPr>
          <w:lang w:val="pt-BR"/>
        </w:rPr>
        <w:t>, destacando as interações entre o aplicativo local, os serviços e o servidor central. Para maior detalhamento, diagramas de componentes e sequência UML podem ser produzidos a partir desse contexto, ilustrando a interação entre usuários, motores de cálculo, camadas de serviço e processos de sincronização.</w:t>
      </w:r>
    </w:p>
    <w:p w14:paraId="73DBB7F8" w14:textId="77777777" w:rsidR="00F962A2" w:rsidRDefault="00000000">
      <w:pPr>
        <w:pStyle w:val="CaptionedFigure"/>
      </w:pPr>
      <w:r>
        <w:rPr>
          <w:noProof/>
        </w:rPr>
        <w:drawing>
          <wp:inline distT="0" distB="0" distL="0" distR="0" wp14:anchorId="264AEBE4" wp14:editId="234862D8">
            <wp:extent cx="5334000" cy="2431535"/>
            <wp:effectExtent l="0" t="0" r="0" b="0"/>
            <wp:docPr id="31" name="Picture" descr="Figura 1 – Diagrama contextual do FundCal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19e1bbfa-f326-41dd-850e-e82156f91d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D8FCB" w14:textId="77777777" w:rsidR="00F962A2" w:rsidRPr="00276A8D" w:rsidRDefault="00000000">
      <w:pPr>
        <w:pStyle w:val="ImageCaption"/>
        <w:rPr>
          <w:lang w:val="pt-BR"/>
        </w:rPr>
      </w:pPr>
      <w:r w:rsidRPr="00276A8D">
        <w:rPr>
          <w:lang w:val="pt-BR"/>
        </w:rPr>
        <w:t xml:space="preserve">Figura 1 – Diagrama contextual do </w:t>
      </w:r>
      <w:proofErr w:type="spellStart"/>
      <w:r w:rsidRPr="00276A8D">
        <w:rPr>
          <w:lang w:val="pt-BR"/>
        </w:rPr>
        <w:t>FundCalc</w:t>
      </w:r>
      <w:proofErr w:type="spellEnd"/>
    </w:p>
    <w:p w14:paraId="21F22B66" w14:textId="77777777" w:rsidR="00F962A2" w:rsidRPr="00276A8D" w:rsidRDefault="00000000">
      <w:pPr>
        <w:pStyle w:val="Ttulo2"/>
        <w:rPr>
          <w:lang w:val="pt-BR"/>
        </w:rPr>
      </w:pPr>
      <w:bookmarkStart w:id="12" w:name="considerações-finais"/>
      <w:bookmarkEnd w:id="11"/>
      <w:r w:rsidRPr="00276A8D">
        <w:rPr>
          <w:lang w:val="pt-BR"/>
        </w:rPr>
        <w:t>8. Considerações Finais</w:t>
      </w:r>
    </w:p>
    <w:p w14:paraId="6277BAEC" w14:textId="77777777" w:rsidR="00F962A2" w:rsidRPr="00276A8D" w:rsidRDefault="00000000">
      <w:pPr>
        <w:pStyle w:val="FirstParagraph"/>
        <w:rPr>
          <w:lang w:val="pt-BR"/>
        </w:rPr>
      </w:pPr>
      <w:r w:rsidRPr="00276A8D">
        <w:rPr>
          <w:lang w:val="pt-BR"/>
        </w:rPr>
        <w:t xml:space="preserve">A arquitetura proposta assegura a separação de responsabilidades, facilita a evolução contínua do sistema e garante que o </w:t>
      </w:r>
      <w:proofErr w:type="spellStart"/>
      <w:r w:rsidRPr="00276A8D">
        <w:rPr>
          <w:b/>
          <w:bCs/>
          <w:lang w:val="pt-BR"/>
        </w:rPr>
        <w:t>FundCalc</w:t>
      </w:r>
      <w:proofErr w:type="spellEnd"/>
      <w:r w:rsidRPr="00276A8D">
        <w:rPr>
          <w:lang w:val="pt-BR"/>
        </w:rPr>
        <w:t xml:space="preserve"> opere tanto online quanto offline com consistência e auditabilidade. A utilização de </w:t>
      </w:r>
      <w:proofErr w:type="spellStart"/>
      <w:r w:rsidRPr="00276A8D">
        <w:rPr>
          <w:i/>
          <w:iCs/>
          <w:lang w:val="pt-BR"/>
        </w:rPr>
        <w:t>bounded</w:t>
      </w:r>
      <w:proofErr w:type="spellEnd"/>
      <w:r w:rsidRPr="00276A8D">
        <w:rPr>
          <w:i/>
          <w:iCs/>
          <w:lang w:val="pt-BR"/>
        </w:rPr>
        <w:t xml:space="preserve"> </w:t>
      </w:r>
      <w:proofErr w:type="spellStart"/>
      <w:r w:rsidRPr="00276A8D">
        <w:rPr>
          <w:i/>
          <w:iCs/>
          <w:lang w:val="pt-BR"/>
        </w:rPr>
        <w:t>contexts</w:t>
      </w:r>
      <w:proofErr w:type="spellEnd"/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Ports &amp; </w:t>
      </w:r>
      <w:proofErr w:type="spellStart"/>
      <w:r w:rsidRPr="00276A8D">
        <w:rPr>
          <w:b/>
          <w:bCs/>
          <w:lang w:val="pt-BR"/>
        </w:rPr>
        <w:t>Adapters</w:t>
      </w:r>
      <w:proofErr w:type="spellEnd"/>
      <w:r w:rsidRPr="00276A8D">
        <w:rPr>
          <w:lang w:val="pt-BR"/>
        </w:rPr>
        <w:t xml:space="preserve">, </w:t>
      </w:r>
      <w:r w:rsidRPr="00276A8D">
        <w:rPr>
          <w:b/>
          <w:bCs/>
          <w:lang w:val="pt-BR"/>
        </w:rPr>
        <w:t>CQRS</w:t>
      </w:r>
      <w:r w:rsidRPr="00276A8D">
        <w:rPr>
          <w:lang w:val="pt-BR"/>
        </w:rPr>
        <w:t xml:space="preserve"> e um protocolo de sincronização baseado em eventos cria uma base robusta para ampliar funcionalidades futuras, como integrações com plataformas BIM ou a inclusão de novos métodos de cálculo.</w:t>
      </w:r>
      <w:bookmarkEnd w:id="0"/>
      <w:bookmarkEnd w:id="12"/>
    </w:p>
    <w:sectPr w:rsidR="00F962A2" w:rsidRPr="00276A8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984CE" w14:textId="77777777" w:rsidR="004579EB" w:rsidRDefault="004579EB">
      <w:pPr>
        <w:spacing w:after="0"/>
      </w:pPr>
      <w:r>
        <w:separator/>
      </w:r>
    </w:p>
  </w:endnote>
  <w:endnote w:type="continuationSeparator" w:id="0">
    <w:p w14:paraId="407CDD1F" w14:textId="77777777" w:rsidR="004579EB" w:rsidRDefault="004579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DD1E7" w14:textId="77777777" w:rsidR="004579EB" w:rsidRDefault="004579EB">
      <w:r>
        <w:separator/>
      </w:r>
    </w:p>
  </w:footnote>
  <w:footnote w:type="continuationSeparator" w:id="0">
    <w:p w14:paraId="60C5A938" w14:textId="77777777" w:rsidR="004579EB" w:rsidRDefault="00457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5AF1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2206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5CEF5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70221215">
    <w:abstractNumId w:val="0"/>
  </w:num>
  <w:num w:numId="2" w16cid:durableId="604315493">
    <w:abstractNumId w:val="1"/>
  </w:num>
  <w:num w:numId="3" w16cid:durableId="561065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2A2"/>
    <w:rsid w:val="00225436"/>
    <w:rsid w:val="00276A8D"/>
    <w:rsid w:val="004579EB"/>
    <w:rsid w:val="009D274F"/>
    <w:rsid w:val="00B50C45"/>
    <w:rsid w:val="00D1511F"/>
    <w:rsid w:val="00D80963"/>
    <w:rsid w:val="00E06BCB"/>
    <w:rsid w:val="00F962A2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BD4D"/>
  <w15:docId w15:val="{8071AFEA-7BCE-42ED-89C6-3D3E5E21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810</Words>
  <Characters>4903</Characters>
  <Application>Microsoft Office Word</Application>
  <DocSecurity>0</DocSecurity>
  <Lines>94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Dantas de Araujo Valeriano</dc:creator>
  <cp:keywords/>
  <cp:lastModifiedBy>Daniel Dantas de Araujo Valeriano</cp:lastModifiedBy>
  <cp:revision>2</cp:revision>
  <cp:lastPrinted>2025-10-17T03:23:00Z</cp:lastPrinted>
  <dcterms:created xsi:type="dcterms:W3CDTF">2025-10-17T03:39:00Z</dcterms:created>
  <dcterms:modified xsi:type="dcterms:W3CDTF">2025-10-17T03:39:00Z</dcterms:modified>
</cp:coreProperties>
</file>