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9A4" w:rsidRDefault="00EA79A4"/>
    <w:p w:rsidR="00EA79A4" w:rsidRDefault="009710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EA79A4" w:rsidRDefault="009710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EA79A4" w:rsidRDefault="009710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2.2.c)</w:t>
      </w:r>
    </w:p>
    <w:p w:rsidR="00EA79A4" w:rsidRDefault="0097103B">
      <w:pPr>
        <w:jc w:val="center"/>
        <w:rPr>
          <w:b/>
        </w:rPr>
      </w:pPr>
      <w:r>
        <w:rPr>
          <w:b/>
        </w:rPr>
        <w:t>Análisis de los cambios en el contexto social, cultural, ambiental, tecnológico, económico y científico, y su incidencia en el programa académico</w:t>
      </w:r>
    </w:p>
    <w:p w:rsidR="00EA79A4" w:rsidRDefault="00EA79A4">
      <w:pPr>
        <w:jc w:val="center"/>
        <w:rPr>
          <w:b/>
        </w:rPr>
      </w:pPr>
    </w:p>
    <w:p w:rsidR="00EA79A4" w:rsidRDefault="0097103B">
      <w:pPr>
        <w:spacing w:after="0"/>
        <w:jc w:val="both"/>
      </w:pPr>
      <w:r>
        <w:t>De acuerdo con su naturaleza, su misión y su Proyecto Educativo Institucional, la Universidad de Caldas ha planteado políticas claras y ha establecido un compromiso explícito con la formación.</w:t>
      </w:r>
    </w:p>
    <w:p w:rsidR="00EA79A4" w:rsidRDefault="0097103B">
      <w:pPr>
        <w:spacing w:after="0"/>
        <w:jc w:val="both"/>
      </w:pPr>
      <w:r>
        <w:t>En tal sentido, la Vicerrectoría de Investigaciones y Postgrado</w:t>
      </w:r>
      <w:r>
        <w:t>s tiene como misión “apoyar y fomentar el espíritu científico de los miembros de la comunidad universitaria proponiendo políticas que permitan definir líneas, proyectos y programas en materia de investigación, así como fomentar la formación avanzada que pe</w:t>
      </w:r>
      <w:r>
        <w:t>rmita la consolidación del conocimiento y la generación de nuevas propuestas de investigación” (Plan de Desarrollo).</w:t>
      </w:r>
    </w:p>
    <w:p w:rsidR="00EA79A4" w:rsidRDefault="00EA79A4">
      <w:pPr>
        <w:spacing w:after="0"/>
        <w:jc w:val="both"/>
      </w:pPr>
    </w:p>
    <w:p w:rsidR="00EA79A4" w:rsidRDefault="0097103B">
      <w:pPr>
        <w:spacing w:after="0"/>
        <w:jc w:val="both"/>
      </w:pPr>
      <w:r>
        <w:t xml:space="preserve">Por lo </w:t>
      </w:r>
      <w:r w:rsidR="000E07C4">
        <w:t>tanto,</w:t>
      </w:r>
      <w:r>
        <w:t xml:space="preserve"> la ingeniería </w:t>
      </w:r>
      <w:r w:rsidR="00BB31F7">
        <w:t xml:space="preserve">mecatrónica </w:t>
      </w:r>
      <w:r>
        <w:t>en consonancia con el plan estratégico</w:t>
      </w:r>
      <w:r w:rsidR="00BB31F7">
        <w:t xml:space="preserve"> institucional</w:t>
      </w:r>
      <w:r>
        <w:t xml:space="preserve"> busca trazar sus actividades específicas que debe llevar a cabo, co</w:t>
      </w:r>
      <w:r>
        <w:t xml:space="preserve">n el propósito de responder a las necesidades y requerimientos del país en cuanto a la información básica en </w:t>
      </w:r>
      <w:r w:rsidR="00BB31F7">
        <w:t>las áreas de sistemas, electrónica, mecánica entre otras.</w:t>
      </w:r>
      <w:r>
        <w:t xml:space="preserve"> </w:t>
      </w:r>
    </w:p>
    <w:p w:rsidR="00EA79A4" w:rsidRDefault="00EA79A4">
      <w:pPr>
        <w:spacing w:after="0"/>
        <w:jc w:val="both"/>
      </w:pPr>
    </w:p>
    <w:p w:rsidR="00EA79A4" w:rsidRDefault="0097103B">
      <w:pPr>
        <w:spacing w:after="0"/>
        <w:jc w:val="both"/>
      </w:pPr>
      <w:r>
        <w:t xml:space="preserve">De acuerdo con los datos anteriores, actualmente en el eje cafetero existen </w:t>
      </w:r>
      <w:r w:rsidR="000E07C4">
        <w:t>tres programas</w:t>
      </w:r>
      <w:r>
        <w:t xml:space="preserve"> de Ingeniería Mecatrónica como se observ</w:t>
      </w:r>
      <w:r>
        <w:t xml:space="preserve">a en la </w:t>
      </w:r>
      <w:r>
        <w:t>tabla</w:t>
      </w:r>
      <w:r w:rsidR="00BB31F7">
        <w:t xml:space="preserve"> 1</w:t>
      </w:r>
      <w:r>
        <w:t xml:space="preserve">, </w:t>
      </w:r>
      <w:r w:rsidR="00BB31F7">
        <w:t>en la</w:t>
      </w:r>
      <w:r>
        <w:t xml:space="preserve"> cual se busca dar respuesta a la necesidad de estudios en </w:t>
      </w:r>
      <w:r w:rsidR="000E07C4">
        <w:t>mecatrónica a</w:t>
      </w:r>
      <w:r>
        <w:t xml:space="preserve"> nivel local y regional.</w:t>
      </w:r>
    </w:p>
    <w:p w:rsidR="00EA79A4" w:rsidRDefault="00EA79A4">
      <w:pPr>
        <w:spacing w:after="0"/>
        <w:jc w:val="both"/>
      </w:pPr>
    </w:p>
    <w:p w:rsidR="00EA79A4" w:rsidRDefault="00BB31F7">
      <w:pPr>
        <w:spacing w:after="0"/>
        <w:jc w:val="both"/>
        <w:rPr>
          <w:i/>
        </w:rPr>
      </w:pPr>
      <w:r>
        <w:rPr>
          <w:i/>
        </w:rPr>
        <w:t xml:space="preserve">Tabla 1. </w:t>
      </w:r>
      <w:r w:rsidR="0097103B">
        <w:rPr>
          <w:i/>
        </w:rPr>
        <w:t>Programas en áreas afines a la mecatrónica ofrecidos en el eje cafetero de Colombia.</w:t>
      </w:r>
    </w:p>
    <w:p w:rsidR="00EA79A4" w:rsidRDefault="00EA79A4">
      <w:pPr>
        <w:spacing w:after="0"/>
        <w:jc w:val="both"/>
        <w:rPr>
          <w:i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EA79A4">
        <w:tc>
          <w:tcPr>
            <w:tcW w:w="2942" w:type="dxa"/>
            <w:shd w:val="clear" w:color="auto" w:fill="DEEBF6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</w:t>
            </w:r>
          </w:p>
        </w:tc>
        <w:tc>
          <w:tcPr>
            <w:tcW w:w="2943" w:type="dxa"/>
            <w:shd w:val="clear" w:color="auto" w:fill="DEEBF6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Programas de </w:t>
            </w:r>
            <w:r>
              <w:rPr>
                <w:b/>
                <w:sz w:val="24"/>
                <w:szCs w:val="24"/>
              </w:rPr>
              <w:t>Ingeniería</w:t>
            </w:r>
          </w:p>
        </w:tc>
        <w:tc>
          <w:tcPr>
            <w:tcW w:w="2943" w:type="dxa"/>
            <w:shd w:val="clear" w:color="auto" w:fill="DEEBF6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Institución</w:t>
            </w:r>
          </w:p>
        </w:tc>
      </w:tr>
      <w:tr w:rsidR="00EA79A4">
        <w:tc>
          <w:tcPr>
            <w:tcW w:w="2942" w:type="dxa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Quindío</w:t>
            </w:r>
          </w:p>
        </w:tc>
        <w:tc>
          <w:tcPr>
            <w:tcW w:w="2943" w:type="dxa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Mecatrónica</w:t>
            </w:r>
          </w:p>
        </w:tc>
        <w:tc>
          <w:tcPr>
            <w:tcW w:w="2943" w:type="dxa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Institución Universitaria EAM</w:t>
            </w:r>
          </w:p>
        </w:tc>
      </w:tr>
      <w:tr w:rsidR="00EA79A4">
        <w:tc>
          <w:tcPr>
            <w:tcW w:w="2942" w:type="dxa"/>
            <w:vAlign w:val="center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Caldas</w:t>
            </w:r>
          </w:p>
        </w:tc>
        <w:tc>
          <w:tcPr>
            <w:tcW w:w="2943" w:type="dxa"/>
            <w:vAlign w:val="center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Mecatrónica</w:t>
            </w:r>
          </w:p>
        </w:tc>
        <w:tc>
          <w:tcPr>
            <w:tcW w:w="2943" w:type="dxa"/>
            <w:vAlign w:val="center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Universidad de Caldas</w:t>
            </w:r>
          </w:p>
        </w:tc>
      </w:tr>
      <w:tr w:rsidR="00EA79A4">
        <w:tc>
          <w:tcPr>
            <w:tcW w:w="2942" w:type="dxa"/>
            <w:vAlign w:val="center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Risaralda</w:t>
            </w:r>
          </w:p>
        </w:tc>
        <w:tc>
          <w:tcPr>
            <w:tcW w:w="2943" w:type="dxa"/>
            <w:vAlign w:val="center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Mecatrónica</w:t>
            </w:r>
          </w:p>
        </w:tc>
        <w:tc>
          <w:tcPr>
            <w:tcW w:w="2943" w:type="dxa"/>
            <w:vAlign w:val="center"/>
          </w:tcPr>
          <w:p w:rsidR="00EA79A4" w:rsidRDefault="009710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0"/>
              </w:tabs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Tecnológica de Pereira</w:t>
            </w:r>
          </w:p>
        </w:tc>
      </w:tr>
    </w:tbl>
    <w:p w:rsidR="00EA79A4" w:rsidRDefault="00EA79A4">
      <w:pPr>
        <w:spacing w:after="0"/>
        <w:jc w:val="both"/>
        <w:rPr>
          <w:i/>
        </w:rPr>
      </w:pPr>
    </w:p>
    <w:p w:rsidR="00EA79A4" w:rsidRDefault="009710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En el momento actual, se hace relevante que </w:t>
      </w:r>
      <w:r w:rsidR="00BB31F7">
        <w:rPr>
          <w:color w:val="000000"/>
        </w:rPr>
        <w:t xml:space="preserve">en </w:t>
      </w:r>
      <w:r>
        <w:rPr>
          <w:color w:val="000000"/>
        </w:rPr>
        <w:t>Colombia se cuente con formación de profesionales que sean capaces de ejecutar proyectos que piensen en u</w:t>
      </w:r>
      <w:r w:rsidR="00BB31F7">
        <w:rPr>
          <w:color w:val="000000"/>
        </w:rPr>
        <w:t xml:space="preserve">n mundo </w:t>
      </w:r>
      <w:r>
        <w:t xml:space="preserve">con </w:t>
      </w:r>
      <w:r w:rsidR="000E07C4">
        <w:t xml:space="preserve">procesos </w:t>
      </w:r>
      <w:r w:rsidR="000E07C4">
        <w:rPr>
          <w:color w:val="000000"/>
        </w:rPr>
        <w:t>auto</w:t>
      </w:r>
      <w:r>
        <w:rPr>
          <w:color w:val="000000"/>
        </w:rPr>
        <w:t xml:space="preserve"> </w:t>
      </w:r>
      <w:r w:rsidR="000E07C4">
        <w:rPr>
          <w:color w:val="000000"/>
        </w:rPr>
        <w:t>sostenibles a</w:t>
      </w:r>
      <w:r>
        <w:rPr>
          <w:color w:val="000000"/>
        </w:rPr>
        <w:t xml:space="preserve"> nivel de investigación </w:t>
      </w:r>
      <w:proofErr w:type="spellStart"/>
      <w:r w:rsidR="00BB31F7">
        <w:rPr>
          <w:color w:val="000000"/>
        </w:rPr>
        <w:t>y</w:t>
      </w:r>
      <w:proofErr w:type="spellEnd"/>
      <w:r w:rsidR="00BB31F7">
        <w:rPr>
          <w:color w:val="000000"/>
        </w:rPr>
        <w:t xml:space="preserve"> de la</w:t>
      </w:r>
      <w:r>
        <w:rPr>
          <w:color w:val="000000"/>
        </w:rPr>
        <w:t xml:space="preserve"> </w:t>
      </w:r>
      <w:r>
        <w:t>industria</w:t>
      </w:r>
      <w:r>
        <w:rPr>
          <w:color w:val="000000"/>
        </w:rPr>
        <w:t xml:space="preserve">, y que a su vez den </w:t>
      </w:r>
      <w:r>
        <w:rPr>
          <w:color w:val="000000"/>
        </w:rPr>
        <w:t xml:space="preserve">respuestas a los problemas que enfrente en el país en las áreas ambientales, </w:t>
      </w:r>
      <w:r>
        <w:t xml:space="preserve">salud, tecnología y </w:t>
      </w:r>
      <w:r w:rsidR="000E07C4">
        <w:t xml:space="preserve">educación, </w:t>
      </w:r>
      <w:r w:rsidR="000E07C4">
        <w:rPr>
          <w:color w:val="000000"/>
        </w:rPr>
        <w:t>tanto</w:t>
      </w:r>
      <w:r>
        <w:rPr>
          <w:color w:val="000000"/>
        </w:rPr>
        <w:t xml:space="preserve"> en un medio académico como de la población en general.</w:t>
      </w:r>
    </w:p>
    <w:p w:rsidR="00EA79A4" w:rsidRDefault="00EA79A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EA79A4" w:rsidRDefault="00971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after="0"/>
        <w:ind w:right="-79"/>
        <w:jc w:val="both"/>
      </w:pPr>
      <w:r>
        <w:rPr>
          <w:color w:val="000000"/>
        </w:rPr>
        <w:t xml:space="preserve">El país necesita contar con un número creciente de investigadores </w:t>
      </w:r>
      <w:r>
        <w:t>mecatrónicos</w:t>
      </w:r>
      <w:r>
        <w:rPr>
          <w:color w:val="000000"/>
        </w:rPr>
        <w:t xml:space="preserve"> que pu</w:t>
      </w:r>
      <w:r>
        <w:rPr>
          <w:color w:val="000000"/>
        </w:rPr>
        <w:t xml:space="preserve">edan apoyar el desarrollo de áreas aplicadas. En los últimos años se ha visto la necesidad de </w:t>
      </w:r>
      <w:r w:rsidR="000E07C4">
        <w:rPr>
          <w:color w:val="000000"/>
        </w:rPr>
        <w:t>encontrar solución</w:t>
      </w:r>
      <w:r>
        <w:rPr>
          <w:color w:val="000000"/>
        </w:rPr>
        <w:t xml:space="preserve"> </w:t>
      </w:r>
      <w:r w:rsidR="000E07C4">
        <w:t>a los problemas</w:t>
      </w:r>
      <w:r>
        <w:t xml:space="preserve"> generados en el sector productivo que conllevan a una contaminación ambiental; en </w:t>
      </w:r>
      <w:r>
        <w:lastRenderedPageBreak/>
        <w:t>nuestra educación el cuestionamiento constant</w:t>
      </w:r>
      <w:r>
        <w:t xml:space="preserve">e de la forma de enseñanza nos lleva a buscar alternativas que permitan el desarrollo de competencias en los </w:t>
      </w:r>
      <w:r w:rsidR="000E07C4">
        <w:t>estudiantes con</w:t>
      </w:r>
      <w:r>
        <w:t xml:space="preserve"> un aprendizaje significativo. </w:t>
      </w:r>
      <w:r>
        <w:rPr>
          <w:color w:val="000000"/>
        </w:rPr>
        <w:t xml:space="preserve"> </w:t>
      </w:r>
    </w:p>
    <w:p w:rsidR="00EA79A4" w:rsidRDefault="00EA79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79"/>
        <w:jc w:val="both"/>
        <w:rPr>
          <w:color w:val="000000"/>
        </w:rPr>
      </w:pPr>
    </w:p>
    <w:p w:rsidR="00EA79A4" w:rsidRDefault="00CD53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79"/>
        <w:jc w:val="both"/>
        <w:rPr>
          <w:color w:val="000000"/>
        </w:rPr>
      </w:pPr>
      <w:r>
        <w:rPr>
          <w:color w:val="000000"/>
        </w:rPr>
        <w:t xml:space="preserve">A nivel mundial los países con un sólido desarrollo económico han fomentado los programas en ciencia y tecnología, pues estos jalonan de manera significativa la industria y generan una cultura de estar a la vanguardia de todos los avances tecnológicos. </w:t>
      </w:r>
      <w:r w:rsidR="0097103B">
        <w:rPr>
          <w:color w:val="000000"/>
        </w:rPr>
        <w:t xml:space="preserve">Los datos y gráficos </w:t>
      </w:r>
      <w:r>
        <w:rPr>
          <w:color w:val="000000"/>
        </w:rPr>
        <w:t>en la tabla 2.</w:t>
      </w:r>
      <w:r w:rsidR="0097103B">
        <w:rPr>
          <w:color w:val="000000"/>
        </w:rPr>
        <w:t xml:space="preserve"> hacen parte del documento que desarrolla la estrategia: Fundamentar el crecimiento y el desarrollo social en la ciencia, la tecnología y la innovación, que hace parte del primer objetivo: Una economía que garantice un ma</w:t>
      </w:r>
      <w:r w:rsidR="0097103B">
        <w:rPr>
          <w:color w:val="000000"/>
        </w:rPr>
        <w:t>yor nivel de bienestar. Visión Colombia II Centenario: 2019.</w:t>
      </w:r>
    </w:p>
    <w:p w:rsidR="00EA79A4" w:rsidRDefault="00EA79A4">
      <w:pPr>
        <w:spacing w:after="0"/>
        <w:jc w:val="both"/>
        <w:rPr>
          <w:i/>
        </w:rPr>
      </w:pPr>
    </w:p>
    <w:p w:rsidR="00EA79A4" w:rsidRDefault="00CD53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after="0"/>
        <w:ind w:left="122" w:right="826"/>
        <w:rPr>
          <w:i/>
          <w:color w:val="000000"/>
        </w:rPr>
      </w:pPr>
      <w:r>
        <w:rPr>
          <w:i/>
          <w:color w:val="000000"/>
        </w:rPr>
        <w:t xml:space="preserve">Tabla 2. </w:t>
      </w:r>
      <w:r w:rsidR="0097103B">
        <w:rPr>
          <w:i/>
          <w:color w:val="000000"/>
        </w:rPr>
        <w:t>Porcentaje de títulos obtenidos a nivel de pregrado en Ciencia y tecnología (fuente: Visión Colombia II Centenario: 2019).</w:t>
      </w:r>
    </w:p>
    <w:p w:rsidR="00EA79A4" w:rsidRDefault="0097103B">
      <w:pPr>
        <w:spacing w:after="0"/>
        <w:jc w:val="both"/>
        <w:rPr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4437570" cy="1752219"/>
            <wp:effectExtent l="0" t="0" r="0" b="0"/>
            <wp:wrapTopAndBottom distT="0" dist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570" cy="1752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79A4" w:rsidRDefault="0097103B">
      <w:pPr>
        <w:spacing w:after="0"/>
        <w:jc w:val="both"/>
      </w:pPr>
      <w:r>
        <w:t xml:space="preserve">Otro punto importante </w:t>
      </w:r>
      <w:r w:rsidR="00CD53B2">
        <w:t>generar</w:t>
      </w:r>
      <w:r>
        <w:t xml:space="preserve"> </w:t>
      </w:r>
      <w:r w:rsidR="00CD53B2">
        <w:t>una propuesta de</w:t>
      </w:r>
      <w:r>
        <w:t xml:space="preserve"> Doctorado en Ingen</w:t>
      </w:r>
      <w:r>
        <w:t xml:space="preserve">iería Mecatrónica </w:t>
      </w:r>
      <w:r w:rsidR="00CD53B2">
        <w:t>para hacer</w:t>
      </w:r>
      <w:r>
        <w:t xml:space="preserve"> prioritario una fuerte formación en robótica, electrónica, mecánica, </w:t>
      </w:r>
      <w:r w:rsidR="000E07C4">
        <w:t>etc.; como</w:t>
      </w:r>
      <w:r>
        <w:t xml:space="preserve"> un componente para el desarrollo</w:t>
      </w:r>
      <w:r>
        <w:t xml:space="preserve"> de los profesionales de la región no tienen la oportunidad de continuar su formac</w:t>
      </w:r>
      <w:r>
        <w:t xml:space="preserve">ión doctoral por </w:t>
      </w:r>
      <w:r w:rsidR="00CD53B2">
        <w:t xml:space="preserve">la </w:t>
      </w:r>
      <w:r>
        <w:t>ausencia de estos</w:t>
      </w:r>
      <w:r w:rsidR="00CD53B2">
        <w:t xml:space="preserve"> programas</w:t>
      </w:r>
      <w:r>
        <w:t>.</w:t>
      </w:r>
    </w:p>
    <w:p w:rsidR="00EA79A4" w:rsidRDefault="00EA79A4"/>
    <w:p w:rsidR="00EA79A4" w:rsidRDefault="009710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L</w:t>
      </w:r>
      <w:r>
        <w:t xml:space="preserve">a pertinencia del programa de Ingeniería Mecatrónica de la Universidad de Caldas está sustentada en los siguientes aspectos:  </w:t>
      </w:r>
    </w:p>
    <w:p w:rsidR="00EA79A4" w:rsidRDefault="00971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Caldas y el eje cafetero son una región con vocación agrícola que reconoce la necesidad de apostarle a la transformación y en est</w:t>
      </w:r>
      <w:r>
        <w:t xml:space="preserve">e sentido la formación en mecatrónica se hace fundamental.  </w:t>
      </w:r>
    </w:p>
    <w:p w:rsidR="00EA79A4" w:rsidRDefault="00971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Caldas en el marco de Ciudad región del conocimiento, encuentra en el postgrado en mecatrónica una oportunidad de articulación con áreas estratégicas de desarrollo como la agroindustria, el aprov</w:t>
      </w:r>
      <w:r>
        <w:t xml:space="preserve">echamiento agroindustrial, los </w:t>
      </w:r>
      <w:proofErr w:type="spellStart"/>
      <w:r>
        <w:t>bioproductos</w:t>
      </w:r>
      <w:proofErr w:type="spellEnd"/>
      <w:r>
        <w:t>, los productos naturales, desarrollo de nuevos a materiales y nanopartículas, etc., que han sido enmarcados como focos de desarrollo por la agenda regional de ciencia y tecnología.</w:t>
      </w:r>
    </w:p>
    <w:p w:rsidR="00EA79A4" w:rsidRDefault="0097103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  <w:r>
        <w:t xml:space="preserve"> </w:t>
      </w:r>
    </w:p>
    <w:p w:rsidR="00EA79A4" w:rsidRDefault="00EA79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</w:p>
    <w:p w:rsidR="00EA79A4" w:rsidRDefault="00EA79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</w:p>
    <w:p w:rsidR="00EA79A4" w:rsidRDefault="00971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lastRenderedPageBreak/>
        <w:t xml:space="preserve">El déficit de formación postgraduada en Colombia, en relación con otros países como Chile </w:t>
      </w:r>
      <w:r w:rsidR="00CD53B2">
        <w:t xml:space="preserve">Argentina y México. </w:t>
      </w:r>
    </w:p>
    <w:p w:rsidR="00EA79A4" w:rsidRDefault="00EA79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p w:rsidR="00EA79A4" w:rsidRPr="00CD53B2" w:rsidRDefault="00971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El programa del Gobierno Becas Docencia con Excelencia ha permitido relanzar la modalidad de profundización de las maestrías a nivel nacional en las áreas: lengua castellana, ciencias sociales, filosofía, ciencias básicas: química, matemática, biología, qu</w:t>
      </w:r>
      <w:r>
        <w:t>e con un enfoque combinado disciplina + pedagogía ha incentivado el inicio de estudios de nivel postgraduado entre los docentes de colegio y básica primaria. Concretamente la Universidad de Caldas acogió en el periodo 2015 -II, 100 profesores de básica pri</w:t>
      </w:r>
      <w:r>
        <w:t>maria y secundaria quienes confiaron en la Universidad de Caldas su formación de postgrado, de los cuales 31 estudiantes se inclinaron por las ciencias básicas y 6 puntualmente iniciaron su formación en Mecatrónica; a partir de la formación de estos docent</w:t>
      </w:r>
      <w:r>
        <w:t>es el impacto generado por el programa ha permitido que la modalidad en profundización en didáctica se fortalezca más, teniendo actualmente</w:t>
      </w:r>
      <w:r>
        <w:rPr>
          <w:highlight w:val="white"/>
        </w:rPr>
        <w:t xml:space="preserve"> 6 egresados y 14 matriculados. </w:t>
      </w:r>
    </w:p>
    <w:p w:rsidR="00CD53B2" w:rsidRDefault="00CD53B2" w:rsidP="00CD5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p w:rsidR="00EA79A4" w:rsidRPr="00CD53B2" w:rsidRDefault="00971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La obtención de las dos (2) primeras “Patentes de Invención” por parte de profesores</w:t>
      </w:r>
      <w:r>
        <w:t xml:space="preserve"> de la Facultad de Ciencias Exactas y Naturales, una en Estados Unidos (Departamento de Química) y la otra en Colombia ante la Superintendencia de Industria y Comercio SIC (Departamento de Física-Matemáticas) ha impulsado la importancia de las ciencias bás</w:t>
      </w:r>
      <w:r>
        <w:t>icas en el entorno regional, reconociéndose su desarrollo y madurez, siendo referente en la región y siendo puerta de entrada para nuevos ingresos por las motivaciones de un desarrollo de tan alta envergadura en el campo de las ciencias, porque en esos des</w:t>
      </w:r>
      <w:r>
        <w:t>arrollos se han involucrado directamente estudiantes del programa de Ingeniería Mecatrónica; actualmente las patentes  otorgadas a  los profesores Milton Rosero y Gonzalo Taborda con la participación de estudiantes del programa. en el 2020 y 2021.</w:t>
      </w:r>
      <w:r>
        <w:rPr>
          <w:highlight w:val="green"/>
        </w:rPr>
        <w:t xml:space="preserve"> </w:t>
      </w:r>
    </w:p>
    <w:p w:rsidR="00CD53B2" w:rsidRDefault="00CD53B2" w:rsidP="00CD5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p w:rsidR="00EA79A4" w:rsidRDefault="00971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Todos e</w:t>
      </w:r>
      <w:r>
        <w:t xml:space="preserve">stos desarrollos dejan sentadas líneas definidas de investigación que requieren sean continuadas y máxime cuando están completamente financiadas con proyectos ante Colciencias, por lo </w:t>
      </w:r>
      <w:bookmarkStart w:id="0" w:name="_GoBack"/>
      <w:bookmarkEnd w:id="0"/>
      <w:r w:rsidR="000B5960">
        <w:t>tanto,</w:t>
      </w:r>
      <w:r>
        <w:t xml:space="preserve"> nuevos estudiantes de la </w:t>
      </w:r>
      <w:r w:rsidR="000E07C4">
        <w:t>Ingeniería están</w:t>
      </w:r>
      <w:r>
        <w:t xml:space="preserve"> siendo involucrados en </w:t>
      </w:r>
      <w:r>
        <w:t>estas líneas de trabajo.  Programas nacionales como: Jóvenes Investigadores (14), Becas de Maestría y Doctorado (5) de Colciencias en el periodo 2016-2021, han sido impulsoras y motivadoras de nuevos ingresos e interés por nuestra Ingeniería Mecatrónica, e</w:t>
      </w:r>
      <w:r>
        <w:t>sto se ha representado en una apertura de nuestras cohortes desde 2016 hasta 2021.</w:t>
      </w:r>
    </w:p>
    <w:p w:rsidR="00D01C2F" w:rsidRDefault="00D01C2F" w:rsidP="00D01C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p w:rsidR="00EA79A4" w:rsidRDefault="009710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El Doctorado en Ciencias Agrarias, Doctorado en Ciencias Biomédicas, el Doctorado en ingeniería  y el Doctorado en red  en Ciencias han sido motivación para aumentar el inte</w:t>
      </w:r>
      <w:r>
        <w:t>rés por nuestro programa, dado la sinergia y comunicación directa entre las áreas de actuación de los  programas, unos por la participación directa de algunos de los profesores del programa con docencia directa y dirección de tesis y otros porque se consti</w:t>
      </w:r>
      <w:r>
        <w:t>tuye en un flujo propedéutico más que regulado, natural, para alcanzar la máxima titulación.</w:t>
      </w:r>
    </w:p>
    <w:p w:rsidR="00EA79A4" w:rsidRDefault="0097103B">
      <w:pPr>
        <w:jc w:val="center"/>
        <w:rPr>
          <w:b/>
        </w:rPr>
      </w:pPr>
      <w:r>
        <w:rPr>
          <w:b/>
        </w:rPr>
        <w:lastRenderedPageBreak/>
        <w:br/>
      </w:r>
    </w:p>
    <w:sectPr w:rsidR="00EA79A4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03B" w:rsidRDefault="0097103B">
      <w:pPr>
        <w:spacing w:after="0" w:line="240" w:lineRule="auto"/>
      </w:pPr>
      <w:r>
        <w:separator/>
      </w:r>
    </w:p>
  </w:endnote>
  <w:endnote w:type="continuationSeparator" w:id="0">
    <w:p w:rsidR="0097103B" w:rsidRDefault="0097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03B" w:rsidRDefault="0097103B">
      <w:pPr>
        <w:spacing w:after="0" w:line="240" w:lineRule="auto"/>
      </w:pPr>
      <w:r>
        <w:separator/>
      </w:r>
    </w:p>
  </w:footnote>
  <w:footnote w:type="continuationSeparator" w:id="0">
    <w:p w:rsidR="0097103B" w:rsidRDefault="0097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9A4" w:rsidRDefault="009710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641"/>
    <w:multiLevelType w:val="multilevel"/>
    <w:tmpl w:val="A620B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9A4"/>
    <w:rsid w:val="000B5960"/>
    <w:rsid w:val="000E07C4"/>
    <w:rsid w:val="00553EB2"/>
    <w:rsid w:val="0097103B"/>
    <w:rsid w:val="00BB31F7"/>
    <w:rsid w:val="00CD53B2"/>
    <w:rsid w:val="00D01C2F"/>
    <w:rsid w:val="00E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B2B9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4F7"/>
    <w:pPr>
      <w:keepNext/>
      <w:tabs>
        <w:tab w:val="left" w:pos="0"/>
      </w:tabs>
      <w:spacing w:after="0" w:line="200" w:lineRule="atLeast"/>
      <w:jc w:val="both"/>
      <w:outlineLvl w:val="2"/>
    </w:pPr>
    <w:rPr>
      <w:rFonts w:ascii="Times New Roman" w:eastAsia="Times New Roman" w:hAnsi="Times New Roman" w:cs="Times New Roman"/>
      <w:spacing w:val="-3"/>
      <w:sz w:val="24"/>
      <w:szCs w:val="20"/>
      <w:lang w:val="en-US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513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551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0A04F7"/>
    <w:rPr>
      <w:rFonts w:ascii="Times New Roman" w:eastAsia="Times New Roman" w:hAnsi="Times New Roman" w:cs="Times New Roman"/>
      <w:spacing w:val="-3"/>
      <w:sz w:val="24"/>
      <w:szCs w:val="20"/>
      <w:lang w:val="en-U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U4lWPq4rFam2IaxRwBWv6249g==">AMUW2mWB4xWy/6eBIc6JDz0HO6Rs3EJXvNVZ093t6hWYKuepwTr0IViFSZEPDARDIm4kEUElK5O/j83Nfdb4bZ1cE2fbMyEPjbg14jx5RCu5/XqZqkKPrwo=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acer</cp:lastModifiedBy>
  <cp:revision>2</cp:revision>
  <dcterms:created xsi:type="dcterms:W3CDTF">2022-08-23T17:23:00Z</dcterms:created>
  <dcterms:modified xsi:type="dcterms:W3CDTF">2022-08-23T17:23:00Z</dcterms:modified>
</cp:coreProperties>
</file>