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B80" w:rsidRDefault="00810B80"/>
    <w:p w:rsidR="00810B80" w:rsidRDefault="003025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:rsidR="00810B80" w:rsidRDefault="003025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</w:rPr>
        <w:t>INGENIERÍA MECATRÓNICA</w:t>
      </w:r>
    </w:p>
    <w:p w:rsidR="00810B80" w:rsidRDefault="003025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3.1.a)</w:t>
      </w:r>
    </w:p>
    <w:p w:rsidR="00810B80" w:rsidRDefault="00302552">
      <w:pPr>
        <w:tabs>
          <w:tab w:val="left" w:pos="6225"/>
        </w:tabs>
        <w:jc w:val="center"/>
        <w:rPr>
          <w:b/>
        </w:rPr>
      </w:pPr>
      <w:r>
        <w:rPr>
          <w:b/>
        </w:rPr>
        <w:t>La implementación de las trayectorias posibles de los estudiantes en su proceso formativo</w:t>
      </w:r>
    </w:p>
    <w:p w:rsidR="00810B80" w:rsidRDefault="00810B80">
      <w:pPr>
        <w:tabs>
          <w:tab w:val="left" w:pos="6225"/>
        </w:tabs>
        <w:jc w:val="center"/>
        <w:rPr>
          <w:b/>
        </w:rPr>
      </w:pPr>
    </w:p>
    <w:p w:rsidR="00810B80" w:rsidRDefault="00302552">
      <w:pPr>
        <w:spacing w:after="0" w:line="276" w:lineRule="auto"/>
        <w:jc w:val="both"/>
      </w:pPr>
      <w:r>
        <w:t xml:space="preserve">La Mecatrónica requiere capacidades específicas para alcanzar las habilidades necesarias para la creación de soluciones ingenieriles, desde la posibilidad de diagnosticar el contexto de desarrollo lo que supone Identificar y analizar variables, establecer </w:t>
      </w:r>
      <w:r>
        <w:t>relaciones entre ellas para evaluar problemas de diversa naturaleza. Así mismo, diseñar, es decir, unir elementos o componentes para concretar en forma creativa la solución a un problema, definir especificaciones técnicas, evaluar alternativas y representa</w:t>
      </w:r>
      <w:r>
        <w:t xml:space="preserve">r con palabras, gráficos, algoritmos, etc. </w:t>
      </w:r>
    </w:p>
    <w:p w:rsidR="00810B80" w:rsidRDefault="00810B80">
      <w:pPr>
        <w:spacing w:after="0" w:line="276" w:lineRule="auto"/>
        <w:jc w:val="both"/>
      </w:pPr>
    </w:p>
    <w:p w:rsidR="00810B80" w:rsidRDefault="00302552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-79"/>
        <w:jc w:val="both"/>
        <w:rPr>
          <w:color w:val="000000"/>
        </w:rPr>
      </w:pPr>
      <w:r>
        <w:rPr>
          <w:color w:val="000000"/>
        </w:rPr>
        <w:t xml:space="preserve">La modalidad de asistencia presencial </w:t>
      </w:r>
      <w:r>
        <w:t>está concentrada</w:t>
      </w:r>
      <w:r>
        <w:rPr>
          <w:color w:val="000000"/>
        </w:rPr>
        <w:t xml:space="preserve"> en asignaturas que se </w:t>
      </w:r>
      <w:proofErr w:type="gramStart"/>
      <w:r>
        <w:rPr>
          <w:color w:val="000000"/>
        </w:rPr>
        <w:t xml:space="preserve">dictan  </w:t>
      </w:r>
      <w:r>
        <w:t>de</w:t>
      </w:r>
      <w:proofErr w:type="gramEnd"/>
      <w:r>
        <w:t xml:space="preserve"> lunes  a domingo </w:t>
      </w:r>
      <w:r>
        <w:rPr>
          <w:color w:val="000000"/>
        </w:rPr>
        <w:t xml:space="preserve"> . Es muy importante además la experiencia práctica de algunas asignaturas especializadas, a través del de</w:t>
      </w:r>
      <w:r>
        <w:rPr>
          <w:color w:val="000000"/>
        </w:rPr>
        <w:t xml:space="preserve">sarrollo </w:t>
      </w:r>
      <w:r>
        <w:t>de prácticas de laboratorio</w:t>
      </w:r>
      <w:r>
        <w:rPr>
          <w:color w:val="000000"/>
        </w:rPr>
        <w:t>, que l</w:t>
      </w:r>
      <w:r>
        <w:t xml:space="preserve">e permiten al estudiante adquirir habilidades y destrezas de las herramientas utilizadas en el desarrollo de los procesos investigativos. </w:t>
      </w:r>
      <w:r>
        <w:rPr>
          <w:color w:val="000000"/>
        </w:rPr>
        <w:t xml:space="preserve">La </w:t>
      </w:r>
      <w:r>
        <w:t>ingeniería</w:t>
      </w:r>
      <w:r>
        <w:rPr>
          <w:color w:val="000000"/>
        </w:rPr>
        <w:t xml:space="preserve"> tiene como eje principal la realización de un proyecto de inv</w:t>
      </w:r>
      <w:r>
        <w:rPr>
          <w:color w:val="000000"/>
        </w:rPr>
        <w:t>estigación original, donde el estudiante debe realizar, de principio a fin, su proyecto de investigación, bajo la supervisión de expertos.</w:t>
      </w:r>
    </w:p>
    <w:p w:rsidR="00810B80" w:rsidRDefault="00302552">
      <w:pPr>
        <w:spacing w:after="0" w:line="240" w:lineRule="auto"/>
        <w:jc w:val="both"/>
      </w:pPr>
      <w:r>
        <w:t xml:space="preserve">El programa </w:t>
      </w:r>
      <w:r w:rsidR="002D55EA">
        <w:t>cuenta con</w:t>
      </w:r>
      <w:r>
        <w:t xml:space="preserve"> dos modalidades en investigación y profundización </w:t>
      </w:r>
      <w:r>
        <w:t xml:space="preserve">en cada una de </w:t>
      </w:r>
      <w:r>
        <w:t>ellas se establece claramente definido el tiempo de dedicación y las estructuras curriculares de acuerdo con los resultados de aprendizaje que se pretenden alcanzar en cada modalidad:</w:t>
      </w:r>
    </w:p>
    <w:p w:rsidR="00810B80" w:rsidRDefault="00302552">
      <w:pPr>
        <w:spacing w:before="240" w:after="240" w:line="240" w:lineRule="auto"/>
        <w:jc w:val="both"/>
      </w:pPr>
      <w:r>
        <w:t xml:space="preserve">La estructura curricular de esta modalidad está </w:t>
      </w:r>
      <w:r w:rsidR="002D55EA">
        <w:t>conformada por</w:t>
      </w:r>
      <w:r>
        <w:t xml:space="preserve"> </w:t>
      </w:r>
      <w:r w:rsidR="002D55EA">
        <w:t>tres</w:t>
      </w:r>
      <w:r>
        <w:t xml:space="preserve"> comp</w:t>
      </w:r>
      <w:r>
        <w:t xml:space="preserve">onentes: </w:t>
      </w:r>
      <w:r w:rsidR="002D55EA">
        <w:t>las básicas, las disciplinares y las de profundización.</w:t>
      </w:r>
    </w:p>
    <w:p w:rsidR="00810B80" w:rsidRDefault="00302552">
      <w:pPr>
        <w:spacing w:after="0" w:line="276" w:lineRule="auto"/>
        <w:jc w:val="both"/>
      </w:pPr>
      <w:r>
        <w:t xml:space="preserve">Los créditos académicos son una herramienta, de gran utilidad, para elaborar un diseño curricular equilibrado y para medir la intensidad de las diferentes asignaturas que lo </w:t>
      </w:r>
      <w:r>
        <w:t>componen.</w:t>
      </w:r>
    </w:p>
    <w:p w:rsidR="00810B80" w:rsidRDefault="00810B80">
      <w:pPr>
        <w:spacing w:after="0" w:line="276" w:lineRule="auto"/>
        <w:jc w:val="both"/>
      </w:pPr>
    </w:p>
    <w:p w:rsidR="00810B80" w:rsidRDefault="00302552">
      <w:pPr>
        <w:spacing w:after="0" w:line="276" w:lineRule="auto"/>
        <w:jc w:val="both"/>
      </w:pPr>
      <w:r>
        <w:t>Los créditos se pueden definir en dos formas, que son equivalentes: con base en el núme</w:t>
      </w:r>
      <w:r>
        <w:t>ro de horas semestrales de clase presencial; y con base en el número de horas de trabajo del estudiante, que comprende las horas de clase presencial y las horas de trabajo fuera de aula.</w:t>
      </w:r>
    </w:p>
    <w:p w:rsidR="00810B80" w:rsidRDefault="00810B80">
      <w:pPr>
        <w:spacing w:after="0" w:line="276" w:lineRule="auto"/>
        <w:jc w:val="both"/>
      </w:pPr>
    </w:p>
    <w:p w:rsidR="00810B80" w:rsidRDefault="00302552">
      <w:pPr>
        <w:spacing w:after="0" w:line="276" w:lineRule="auto"/>
        <w:jc w:val="both"/>
      </w:pPr>
      <w:r>
        <w:t xml:space="preserve">Comúnmente un crédito requiere una hora semanal de clase presencial </w:t>
      </w:r>
      <w:r>
        <w:t xml:space="preserve">y un mínimo de </w:t>
      </w:r>
      <w:r w:rsidR="002D55EA">
        <w:t>dos horas</w:t>
      </w:r>
      <w:r>
        <w:t xml:space="preserve"> de trabajo fuera del aula. Un curso de tres créditos requiere así tres horas semanales de clase presencial y seis horas de trabajo fuera de aula. </w:t>
      </w:r>
    </w:p>
    <w:p w:rsidR="00810B80" w:rsidRDefault="00810B80">
      <w:pPr>
        <w:spacing w:after="0" w:line="276" w:lineRule="auto"/>
        <w:jc w:val="both"/>
      </w:pPr>
    </w:p>
    <w:p w:rsidR="00810B80" w:rsidRDefault="00302552">
      <w:pPr>
        <w:spacing w:after="0" w:line="276" w:lineRule="auto"/>
        <w:jc w:val="both"/>
      </w:pPr>
      <w:r>
        <w:t>Con una duración de un semestre de 16 semanas, sin incluir las semanas de exámenes</w:t>
      </w:r>
      <w:r>
        <w:t xml:space="preserve"> finales, un curso de tres créditos requiere 144 horas de trabajo, distribuidas en 48 horas de </w:t>
      </w:r>
      <w:bookmarkStart w:id="0" w:name="_GoBack"/>
      <w:bookmarkEnd w:id="0"/>
      <w:r w:rsidR="002D55EA">
        <w:t>clase y</w:t>
      </w:r>
      <w:r>
        <w:t xml:space="preserve"> </w:t>
      </w:r>
      <w:proofErr w:type="gramStart"/>
      <w:r>
        <w:t>un  mínimo</w:t>
      </w:r>
      <w:proofErr w:type="gramEnd"/>
      <w:r>
        <w:t xml:space="preserve"> de  96 horas de  trabajo fuera de aula.</w:t>
      </w:r>
    </w:p>
    <w:p w:rsidR="00810B80" w:rsidRDefault="00810B80">
      <w:pPr>
        <w:spacing w:after="0" w:line="276" w:lineRule="auto"/>
        <w:jc w:val="both"/>
      </w:pPr>
    </w:p>
    <w:p w:rsidR="00810B80" w:rsidRDefault="00302552">
      <w:pPr>
        <w:spacing w:after="0" w:line="276" w:lineRule="auto"/>
        <w:jc w:val="both"/>
      </w:pPr>
      <w:r>
        <w:lastRenderedPageBreak/>
        <w:t xml:space="preserve">Las cargas semestrales de los estudiantes normalmente oscilan entre 14 y 18 créditos; el estudiante </w:t>
      </w:r>
      <w:r>
        <w:t>debe asistir así de 14 o 18 horas de clase a la semana y debe trabajar fuera del aula durante un mínimo de 30 o 36 horas. Son cargas razonables que permiten además que los estudiantes puedan desarrollar otras actividades sociales y culturales, fundamentale</w:t>
      </w:r>
      <w:r>
        <w:t>s para su formación.</w:t>
      </w:r>
    </w:p>
    <w:p w:rsidR="00810B80" w:rsidRDefault="00810B80">
      <w:pPr>
        <w:spacing w:after="0" w:line="276" w:lineRule="auto"/>
        <w:jc w:val="both"/>
      </w:pPr>
    </w:p>
    <w:p w:rsidR="00810B80" w:rsidRDefault="00302552">
      <w:pPr>
        <w:spacing w:after="0" w:line="276" w:lineRule="auto"/>
        <w:jc w:val="both"/>
      </w:pPr>
      <w:r>
        <w:t xml:space="preserve">Los créditos permiten además establecer las cargas docentes, en forma tal que adicionalmente a su labor pedagógica puedan adelantar actividades de consejería o de investigación. </w:t>
      </w:r>
    </w:p>
    <w:p w:rsidR="00810B80" w:rsidRDefault="00810B80">
      <w:pPr>
        <w:spacing w:after="0" w:line="276" w:lineRule="auto"/>
        <w:jc w:val="both"/>
      </w:pPr>
    </w:p>
    <w:p w:rsidR="00810B80" w:rsidRDefault="00302552">
      <w:pPr>
        <w:spacing w:after="0" w:line="276" w:lineRule="auto"/>
        <w:jc w:val="both"/>
      </w:pPr>
      <w:r>
        <w:t>El factor usado para ponderar el programa de Ingenierí</w:t>
      </w:r>
      <w:r>
        <w:t xml:space="preserve">a Mecatrónica es el crédito académico. </w:t>
      </w:r>
    </w:p>
    <w:p w:rsidR="00810B80" w:rsidRDefault="00810B80">
      <w:pPr>
        <w:spacing w:after="0" w:line="276" w:lineRule="auto"/>
        <w:jc w:val="both"/>
        <w:rPr>
          <w:b/>
          <w:highlight w:val="cyan"/>
        </w:rPr>
      </w:pPr>
    </w:p>
    <w:p w:rsidR="00810B80" w:rsidRDefault="00302552">
      <w:pPr>
        <w:spacing w:after="0" w:line="276" w:lineRule="auto"/>
        <w:jc w:val="both"/>
        <w:rPr>
          <w:b/>
        </w:rPr>
      </w:pPr>
      <w:r>
        <w:rPr>
          <w:b/>
        </w:rPr>
        <w:t xml:space="preserve">Número de créditos por áreas y componentes: </w:t>
      </w:r>
    </w:p>
    <w:p w:rsidR="00810B80" w:rsidRDefault="00810B80">
      <w:pPr>
        <w:spacing w:after="0" w:line="276" w:lineRule="auto"/>
        <w:jc w:val="both"/>
        <w:rPr>
          <w:b/>
        </w:rPr>
      </w:pPr>
    </w:p>
    <w:p w:rsidR="00810B80" w:rsidRDefault="00302552">
      <w:pPr>
        <w:spacing w:after="0" w:line="276" w:lineRule="auto"/>
        <w:jc w:val="both"/>
      </w:pPr>
      <w:r>
        <w:t>La valoración global y particular del programa se presenta a continuación:</w:t>
      </w:r>
    </w:p>
    <w:p w:rsidR="00810B80" w:rsidRDefault="00810B80">
      <w:pPr>
        <w:spacing w:after="0" w:line="276" w:lineRule="auto"/>
        <w:jc w:val="both"/>
      </w:pPr>
    </w:p>
    <w:p w:rsidR="00810B80" w:rsidRDefault="00302552">
      <w:pPr>
        <w:spacing w:after="0" w:line="276" w:lineRule="auto"/>
        <w:jc w:val="both"/>
      </w:pPr>
      <w:r>
        <w:t>Número total de créditos: 164 créditos</w:t>
      </w:r>
    </w:p>
    <w:p w:rsidR="00810B80" w:rsidRDefault="00810B80">
      <w:pPr>
        <w:spacing w:after="0" w:line="276" w:lineRule="auto"/>
        <w:jc w:val="both"/>
      </w:pPr>
    </w:p>
    <w:p w:rsidR="00810B80" w:rsidRDefault="00302552">
      <w:pPr>
        <w:spacing w:after="0" w:line="276" w:lineRule="auto"/>
        <w:jc w:val="both"/>
        <w:rPr>
          <w:b/>
        </w:rPr>
      </w:pPr>
      <w:r>
        <w:rPr>
          <w:b/>
        </w:rPr>
        <w:t>Ver Anexo: Plan de Estudios</w:t>
      </w:r>
    </w:p>
    <w:p w:rsidR="00810B80" w:rsidRDefault="00810B80">
      <w:pPr>
        <w:spacing w:after="0" w:line="276" w:lineRule="auto"/>
        <w:jc w:val="both"/>
      </w:pPr>
    </w:p>
    <w:p w:rsidR="00810B80" w:rsidRDefault="00302552">
      <w:pPr>
        <w:spacing w:after="0" w:line="276" w:lineRule="auto"/>
        <w:jc w:val="both"/>
        <w:rPr>
          <w:b/>
        </w:rPr>
      </w:pPr>
      <w:r>
        <w:rPr>
          <w:b/>
        </w:rPr>
        <w:t>Actividades Por Créditos</w:t>
      </w:r>
      <w:r>
        <w:rPr>
          <w:b/>
        </w:rPr>
        <w:t xml:space="preserve"> Académicos </w:t>
      </w:r>
    </w:p>
    <w:p w:rsidR="00810B80" w:rsidRDefault="00810B80">
      <w:pPr>
        <w:spacing w:after="0" w:line="276" w:lineRule="auto"/>
        <w:jc w:val="both"/>
        <w:rPr>
          <w:b/>
        </w:rPr>
      </w:pPr>
    </w:p>
    <w:p w:rsidR="00810B80" w:rsidRDefault="00302552">
      <w:pPr>
        <w:spacing w:after="0" w:line="276" w:lineRule="auto"/>
        <w:jc w:val="both"/>
      </w:pPr>
      <w:r>
        <w:t xml:space="preserve">El presente plan se concluye a partir del proceso de autoevaluación 2015. La reestructuración del plan curricular del programa de Ingeniería Mecatrónica es </w:t>
      </w:r>
      <w:proofErr w:type="gramStart"/>
      <w:r>
        <w:t>aprobado</w:t>
      </w:r>
      <w:proofErr w:type="gramEnd"/>
      <w:r>
        <w:t xml:space="preserve"> por el Comité de Currículo del Programa según Acta No. 04 de fecha 09/11/2015 y por el Cons</w:t>
      </w:r>
      <w:r>
        <w:t>ejo de Facultad según Sesión No.27 del día 15/12/2015, lo anterior se explicita de la siguiente manera:</w:t>
      </w:r>
    </w:p>
    <w:p w:rsidR="00810B80" w:rsidRDefault="00810B80">
      <w:pPr>
        <w:spacing w:after="0" w:line="276" w:lineRule="auto"/>
        <w:jc w:val="both"/>
      </w:pPr>
    </w:p>
    <w:p w:rsidR="00810B80" w:rsidRDefault="00302552">
      <w:pPr>
        <w:spacing w:after="0" w:line="276" w:lineRule="auto"/>
        <w:jc w:val="both"/>
      </w:pPr>
      <w:r>
        <w:rPr>
          <w:b/>
        </w:rPr>
        <w:t>Tabla de componentes y Número de Créditos</w:t>
      </w:r>
      <w:r>
        <w:t>:</w:t>
      </w:r>
    </w:p>
    <w:p w:rsidR="00810B80" w:rsidRDefault="00810B80">
      <w:pPr>
        <w:spacing w:after="0" w:line="276" w:lineRule="auto"/>
        <w:jc w:val="both"/>
      </w:pPr>
    </w:p>
    <w:tbl>
      <w:tblPr>
        <w:tblStyle w:val="a"/>
        <w:tblW w:w="861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694"/>
        <w:gridCol w:w="3083"/>
      </w:tblGrid>
      <w:tr w:rsidR="00810B80">
        <w:tc>
          <w:tcPr>
            <w:tcW w:w="2835" w:type="dxa"/>
            <w:shd w:val="clear" w:color="auto" w:fill="8DB3E2"/>
            <w:vAlign w:val="center"/>
          </w:tcPr>
          <w:p w:rsidR="00810B80" w:rsidRDefault="0030255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Componentes de formación</w:t>
            </w:r>
          </w:p>
        </w:tc>
        <w:tc>
          <w:tcPr>
            <w:tcW w:w="2694" w:type="dxa"/>
            <w:shd w:val="clear" w:color="auto" w:fill="8DB3E2"/>
            <w:vAlign w:val="center"/>
          </w:tcPr>
          <w:p w:rsidR="00810B80" w:rsidRDefault="0030255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No. de créditos plan curricular 2010-2015</w:t>
            </w:r>
          </w:p>
        </w:tc>
        <w:tc>
          <w:tcPr>
            <w:tcW w:w="3083" w:type="dxa"/>
            <w:shd w:val="clear" w:color="auto" w:fill="8DB3E2"/>
            <w:vAlign w:val="center"/>
          </w:tcPr>
          <w:p w:rsidR="00810B80" w:rsidRDefault="0030255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No. de créditos plan curricular 2016</w:t>
            </w:r>
          </w:p>
        </w:tc>
      </w:tr>
      <w:tr w:rsidR="00810B80">
        <w:tc>
          <w:tcPr>
            <w:tcW w:w="2835" w:type="dxa"/>
          </w:tcPr>
          <w:p w:rsidR="00810B80" w:rsidRDefault="00302552">
            <w:pPr>
              <w:spacing w:after="0" w:line="276" w:lineRule="auto"/>
              <w:jc w:val="both"/>
            </w:pPr>
            <w:r>
              <w:t>Formación General</w:t>
            </w:r>
          </w:p>
        </w:tc>
        <w:tc>
          <w:tcPr>
            <w:tcW w:w="2694" w:type="dxa"/>
          </w:tcPr>
          <w:p w:rsidR="00810B80" w:rsidRDefault="00302552">
            <w:pPr>
              <w:spacing w:after="0" w:line="276" w:lineRule="auto"/>
              <w:jc w:val="center"/>
            </w:pPr>
            <w:r>
              <w:t>4</w:t>
            </w:r>
          </w:p>
        </w:tc>
        <w:tc>
          <w:tcPr>
            <w:tcW w:w="3083" w:type="dxa"/>
          </w:tcPr>
          <w:p w:rsidR="00810B80" w:rsidRDefault="00302552">
            <w:pPr>
              <w:spacing w:after="0" w:line="276" w:lineRule="auto"/>
              <w:jc w:val="center"/>
            </w:pPr>
            <w:r>
              <w:t>6</w:t>
            </w:r>
          </w:p>
        </w:tc>
      </w:tr>
      <w:tr w:rsidR="00810B80">
        <w:tc>
          <w:tcPr>
            <w:tcW w:w="2835" w:type="dxa"/>
          </w:tcPr>
          <w:p w:rsidR="00810B80" w:rsidRDefault="00302552">
            <w:pPr>
              <w:spacing w:after="0" w:line="276" w:lineRule="auto"/>
              <w:jc w:val="both"/>
            </w:pPr>
            <w:r>
              <w:t>Fundamentación en Ciencias</w:t>
            </w:r>
          </w:p>
        </w:tc>
        <w:tc>
          <w:tcPr>
            <w:tcW w:w="2694" w:type="dxa"/>
          </w:tcPr>
          <w:p w:rsidR="00810B80" w:rsidRDefault="00302552">
            <w:pPr>
              <w:spacing w:after="0" w:line="276" w:lineRule="auto"/>
              <w:jc w:val="center"/>
            </w:pPr>
            <w:r>
              <w:t>46</w:t>
            </w:r>
          </w:p>
        </w:tc>
        <w:tc>
          <w:tcPr>
            <w:tcW w:w="3083" w:type="dxa"/>
          </w:tcPr>
          <w:p w:rsidR="00810B80" w:rsidRDefault="00302552">
            <w:pPr>
              <w:spacing w:after="0" w:line="276" w:lineRule="auto"/>
              <w:jc w:val="center"/>
            </w:pPr>
            <w:r>
              <w:t>50</w:t>
            </w:r>
          </w:p>
        </w:tc>
      </w:tr>
      <w:tr w:rsidR="00810B80">
        <w:tc>
          <w:tcPr>
            <w:tcW w:w="2835" w:type="dxa"/>
          </w:tcPr>
          <w:p w:rsidR="00810B80" w:rsidRDefault="00302552">
            <w:pPr>
              <w:spacing w:after="0" w:line="276" w:lineRule="auto"/>
              <w:jc w:val="both"/>
            </w:pPr>
            <w:r>
              <w:t>Formación Profesional</w:t>
            </w:r>
          </w:p>
        </w:tc>
        <w:tc>
          <w:tcPr>
            <w:tcW w:w="2694" w:type="dxa"/>
          </w:tcPr>
          <w:p w:rsidR="00810B80" w:rsidRDefault="00302552">
            <w:pPr>
              <w:spacing w:after="0" w:line="276" w:lineRule="auto"/>
              <w:jc w:val="center"/>
            </w:pPr>
            <w:r>
              <w:t>73</w:t>
            </w:r>
          </w:p>
        </w:tc>
        <w:tc>
          <w:tcPr>
            <w:tcW w:w="3083" w:type="dxa"/>
          </w:tcPr>
          <w:p w:rsidR="00810B80" w:rsidRDefault="00302552">
            <w:pPr>
              <w:spacing w:after="0" w:line="276" w:lineRule="auto"/>
              <w:jc w:val="center"/>
            </w:pPr>
            <w:r>
              <w:t>84</w:t>
            </w:r>
          </w:p>
        </w:tc>
      </w:tr>
      <w:tr w:rsidR="00810B80">
        <w:tc>
          <w:tcPr>
            <w:tcW w:w="2835" w:type="dxa"/>
          </w:tcPr>
          <w:p w:rsidR="00810B80" w:rsidRDefault="00302552">
            <w:pPr>
              <w:spacing w:after="0" w:line="276" w:lineRule="auto"/>
              <w:jc w:val="both"/>
            </w:pPr>
            <w:r>
              <w:t>Formación de Profundización</w:t>
            </w:r>
          </w:p>
        </w:tc>
        <w:tc>
          <w:tcPr>
            <w:tcW w:w="2694" w:type="dxa"/>
          </w:tcPr>
          <w:p w:rsidR="00810B80" w:rsidRDefault="00302552">
            <w:pPr>
              <w:spacing w:after="0" w:line="276" w:lineRule="auto"/>
              <w:jc w:val="center"/>
            </w:pPr>
            <w:r>
              <w:t>41</w:t>
            </w:r>
          </w:p>
        </w:tc>
        <w:tc>
          <w:tcPr>
            <w:tcW w:w="3083" w:type="dxa"/>
          </w:tcPr>
          <w:p w:rsidR="00810B80" w:rsidRDefault="00302552">
            <w:pPr>
              <w:spacing w:after="0" w:line="276" w:lineRule="auto"/>
              <w:jc w:val="center"/>
            </w:pPr>
            <w:r>
              <w:t>24</w:t>
            </w:r>
          </w:p>
        </w:tc>
      </w:tr>
      <w:tr w:rsidR="00810B80">
        <w:tc>
          <w:tcPr>
            <w:tcW w:w="2835" w:type="dxa"/>
          </w:tcPr>
          <w:p w:rsidR="00810B80" w:rsidRDefault="00302552">
            <w:pPr>
              <w:spacing w:after="0" w:line="276" w:lineRule="auto"/>
              <w:jc w:val="both"/>
              <w:rPr>
                <w:b/>
              </w:rPr>
            </w:pPr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 xml:space="preserve"> Créditos</w:t>
            </w:r>
          </w:p>
        </w:tc>
        <w:tc>
          <w:tcPr>
            <w:tcW w:w="2694" w:type="dxa"/>
          </w:tcPr>
          <w:p w:rsidR="00810B80" w:rsidRDefault="00302552">
            <w:pPr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164</w:t>
            </w:r>
          </w:p>
        </w:tc>
        <w:tc>
          <w:tcPr>
            <w:tcW w:w="3083" w:type="dxa"/>
          </w:tcPr>
          <w:p w:rsidR="00810B80" w:rsidRDefault="00302552">
            <w:pPr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164</w:t>
            </w:r>
          </w:p>
        </w:tc>
      </w:tr>
    </w:tbl>
    <w:p w:rsidR="00810B80" w:rsidRDefault="00810B80">
      <w:pPr>
        <w:spacing w:after="0" w:line="276" w:lineRule="auto"/>
        <w:jc w:val="both"/>
        <w:rPr>
          <w:highlight w:val="cyan"/>
        </w:rPr>
      </w:pPr>
    </w:p>
    <w:p w:rsidR="00810B80" w:rsidRDefault="00810B80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-79"/>
        <w:jc w:val="both"/>
      </w:pPr>
    </w:p>
    <w:p w:rsidR="00810B80" w:rsidRDefault="00810B80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-79"/>
        <w:jc w:val="both"/>
      </w:pPr>
    </w:p>
    <w:sectPr w:rsidR="00810B8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552" w:rsidRDefault="00302552">
      <w:pPr>
        <w:spacing w:after="0" w:line="240" w:lineRule="auto"/>
      </w:pPr>
      <w:r>
        <w:separator/>
      </w:r>
    </w:p>
  </w:endnote>
  <w:endnote w:type="continuationSeparator" w:id="0">
    <w:p w:rsidR="00302552" w:rsidRDefault="00302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B80" w:rsidRDefault="00810B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552" w:rsidRDefault="00302552">
      <w:pPr>
        <w:spacing w:after="0" w:line="240" w:lineRule="auto"/>
      </w:pPr>
      <w:r>
        <w:separator/>
      </w:r>
    </w:p>
  </w:footnote>
  <w:footnote w:type="continuationSeparator" w:id="0">
    <w:p w:rsidR="00302552" w:rsidRDefault="00302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B80" w:rsidRDefault="0030255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l="0" t="0" r="0" b="0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B80"/>
    <w:rsid w:val="002D55EA"/>
    <w:rsid w:val="00302552"/>
    <w:rsid w:val="0081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F9EC9"/>
  <w15:docId w15:val="{9C38AFDC-EDF8-46FB-8CB9-79378B74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35B6D"/>
    <w:pPr>
      <w:widowControl w:val="0"/>
      <w:spacing w:after="0" w:line="240" w:lineRule="auto"/>
      <w:ind w:left="122"/>
      <w:outlineLvl w:val="0"/>
    </w:pPr>
    <w:rPr>
      <w:rFonts w:ascii="Arial" w:eastAsia="Arial" w:hAnsi="Arial" w:cs="Arial"/>
      <w:b/>
      <w:bCs/>
      <w:lang w:val="es-E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/>
    <w:rsid w:val="009C0A9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1"/>
    <w:rsid w:val="00F35B6D"/>
    <w:rPr>
      <w:rFonts w:ascii="Arial" w:eastAsia="Arial" w:hAnsi="Arial" w:cs="Arial"/>
      <w:b/>
      <w:bCs/>
      <w:lang w:val="es-ES" w:eastAsia="es-CO"/>
    </w:rPr>
  </w:style>
  <w:style w:type="paragraph" w:styleId="Prrafodelista">
    <w:name w:val="List Paragraph"/>
    <w:basedOn w:val="Normal"/>
    <w:uiPriority w:val="34"/>
    <w:qFormat/>
    <w:rsid w:val="000F7E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1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jcgMzNpck+vB2zX0Cp9Rx4NnGw==">AMUW2mUlSY1JwJCL9C3amRrcCRGAhZETg+iRm+f24Sz2YMzAFZMHGuo5pD1qughYE1dzR+eQn0vYsX5G+c2mHjxMU0X+qWTYS4mKGGJ9DCE9w/ONVCUAd0Y=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acer</cp:lastModifiedBy>
  <cp:revision>2</cp:revision>
  <dcterms:created xsi:type="dcterms:W3CDTF">2022-08-23T22:04:00Z</dcterms:created>
  <dcterms:modified xsi:type="dcterms:W3CDTF">2022-08-23T22:04:00Z</dcterms:modified>
</cp:coreProperties>
</file>