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MAESTRÍA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QUÍMICA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3.</w:t>
      </w:r>
      <w:r w:rsidDel="00000000" w:rsidR="00000000" w:rsidRPr="00000000">
        <w:rPr>
          <w:b w:val="1"/>
          <w:rtl w:val="0"/>
        </w:rPr>
        <w:t xml:space="preserve">4.1.3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los programas de doctorado, deberá presentar los resultados de la implementación de los mecanismos orientados a fomentar la incorporación de sus estudiantes y profesores en actividades internacionales, que evidencien la articulación e inserción del programa académico en la actividad científica internacional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No aplica para el programa de Ingeniería Mecatrónica.</w:t>
      </w:r>
    </w:p>
    <w:p w:rsidR="00000000" w:rsidDel="00000000" w:rsidP="00000000" w:rsidRDefault="00000000" w:rsidRPr="00000000" w14:paraId="00000008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225"/>
        </w:tabs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7tiTtC35BloYktfMkyLr3rGXzQ==">AMUW2mVx8NACb9vUuRi4X3vOMsQhherBC23CKGp6MhxH7sGkCKtGGpTvxTUp4HIywswPu9yQ0H/TTg+MmOi91HHMZVMDivun6MjxcyXcVPcyD3+oVTL1GpQ=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2021-05-26T02:49:00Z</dcterms:created>
  <dc:creator>Usuario</dc:creator>
</cp:coreProperties>
</file>