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DE RENOVACIÓN DE REGISTRO CALIFICADO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INGENIERÍA MECATRÓNICA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3.</w:t>
      </w:r>
      <w:r w:rsidDel="00000000" w:rsidR="00000000" w:rsidRPr="00000000">
        <w:rPr>
          <w:b w:val="1"/>
          <w:rtl w:val="0"/>
        </w:rPr>
        <w:t xml:space="preserve">6</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.1.b)</w:t>
      </w:r>
    </w:p>
    <w:p w:rsidR="00000000" w:rsidDel="00000000" w:rsidP="00000000" w:rsidRDefault="00000000" w:rsidRPr="00000000" w14:paraId="00000005">
      <w:pPr>
        <w:tabs>
          <w:tab w:val="left" w:pos="6225"/>
        </w:tabs>
        <w:jc w:val="center"/>
        <w:rPr>
          <w:b w:val="1"/>
        </w:rPr>
      </w:pPr>
      <w:r w:rsidDel="00000000" w:rsidR="00000000" w:rsidRPr="00000000">
        <w:rPr>
          <w:b w:val="1"/>
          <w:rtl w:val="0"/>
        </w:rPr>
        <w:t xml:space="preserve">Resultados e indicadores de la incorporación en el currículo de los contenidos que favorecen el desarrollo de competencias comunicativas en una segunda lengua</w:t>
      </w:r>
    </w:p>
    <w:p w:rsidR="00000000" w:rsidDel="00000000" w:rsidP="00000000" w:rsidRDefault="00000000" w:rsidRPr="00000000" w14:paraId="00000006">
      <w:pPr>
        <w:tabs>
          <w:tab w:val="left" w:pos="6225"/>
        </w:tabs>
        <w:jc w:val="both"/>
        <w:rPr>
          <w:b w:val="1"/>
        </w:rPr>
      </w:pPr>
      <w:r w:rsidDel="00000000" w:rsidR="00000000" w:rsidRPr="00000000">
        <w:rPr>
          <w:b w:val="1"/>
          <w:rtl w:val="0"/>
        </w:rPr>
        <w:t xml:space="preserve"> </w:t>
      </w:r>
    </w:p>
    <w:p w:rsidR="00000000" w:rsidDel="00000000" w:rsidP="00000000" w:rsidRDefault="00000000" w:rsidRPr="00000000" w14:paraId="00000007">
      <w:pPr>
        <w:tabs>
          <w:tab w:val="left" w:pos="622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indiscutible que el idioma Inglés actualmente domina las actividades académicas y comerciales en el mundo. Se ha convertido en el medio fundamental para la adquisición de la información en Internet y en otras redes de las comunidades académicas, científicas o tecnológicas. La internacionalización del conocimiento por medio de dichos canales de comunicación, implica que cada estudiante debe estar en capacidad de manejar las habilidades del idioma con un nivel de suficiencia adecuado. Primordialmente, la adquisición de estrategias para la habilidad lectora, le permitirán un acceso al conocimiento especializado, lo cual contribuirá enormemente a su crecimiento personal y desarrollo profesional.</w:t>
      </w:r>
    </w:p>
    <w:p w:rsidR="00000000" w:rsidDel="00000000" w:rsidP="00000000" w:rsidRDefault="00000000" w:rsidRPr="00000000" w14:paraId="00000008">
      <w:pPr>
        <w:tabs>
          <w:tab w:val="left" w:pos="6225"/>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tabs>
          <w:tab w:val="left" w:pos="622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Departamento que oferta: LENGUAS EXTRANJERAS </w:t>
      </w:r>
    </w:p>
    <w:p w:rsidR="00000000" w:rsidDel="00000000" w:rsidP="00000000" w:rsidRDefault="00000000" w:rsidRPr="00000000" w14:paraId="0000000A">
      <w:pPr>
        <w:tabs>
          <w:tab w:val="left" w:pos="622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Actividad académica: INGLÉS TÉCNICO I MECATRÓNICA </w:t>
      </w:r>
    </w:p>
    <w:p w:rsidR="00000000" w:rsidDel="00000000" w:rsidP="00000000" w:rsidRDefault="00000000" w:rsidRPr="00000000" w14:paraId="0000000B">
      <w:pPr>
        <w:tabs>
          <w:tab w:val="left" w:pos="622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actividad académica: G5G0001</w:t>
      </w:r>
    </w:p>
    <w:p w:rsidR="00000000" w:rsidDel="00000000" w:rsidP="00000000" w:rsidRDefault="00000000" w:rsidRPr="00000000" w14:paraId="0000000C">
      <w:pPr>
        <w:tabs>
          <w:tab w:val="left" w:pos="622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Número de créditos que otorga: 2</w:t>
      </w:r>
    </w:p>
    <w:p w:rsidR="00000000" w:rsidDel="00000000" w:rsidP="00000000" w:rsidRDefault="00000000" w:rsidRPr="00000000" w14:paraId="0000000D">
      <w:pPr>
        <w:tabs>
          <w:tab w:val="left" w:pos="6225"/>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tabs>
          <w:tab w:val="left" w:pos="622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Departamento que oferta: LENGUAS EXTRANJERAS </w:t>
      </w:r>
    </w:p>
    <w:p w:rsidR="00000000" w:rsidDel="00000000" w:rsidP="00000000" w:rsidRDefault="00000000" w:rsidRPr="00000000" w14:paraId="0000000F">
      <w:pPr>
        <w:tabs>
          <w:tab w:val="left" w:pos="622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Actividad académica: INGLÉS TÉCNICO II MECATRÓNICA </w:t>
      </w:r>
    </w:p>
    <w:p w:rsidR="00000000" w:rsidDel="00000000" w:rsidP="00000000" w:rsidRDefault="00000000" w:rsidRPr="00000000" w14:paraId="00000010">
      <w:pPr>
        <w:tabs>
          <w:tab w:val="left" w:pos="622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actividad académica: G5G0002 N</w:t>
      </w:r>
    </w:p>
    <w:p w:rsidR="00000000" w:rsidDel="00000000" w:rsidP="00000000" w:rsidRDefault="00000000" w:rsidRPr="00000000" w14:paraId="00000011">
      <w:pPr>
        <w:tabs>
          <w:tab w:val="left" w:pos="622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úmero de créditos que otorga: 2</w:t>
      </w:r>
    </w:p>
    <w:p w:rsidR="00000000" w:rsidDel="00000000" w:rsidP="00000000" w:rsidRDefault="00000000" w:rsidRPr="00000000" w14:paraId="00000012">
      <w:pPr>
        <w:tabs>
          <w:tab w:val="left" w:pos="6225"/>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tabs>
          <w:tab w:val="left" w:pos="622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 General: </w:t>
      </w:r>
    </w:p>
    <w:p w:rsidR="00000000" w:rsidDel="00000000" w:rsidP="00000000" w:rsidRDefault="00000000" w:rsidRPr="00000000" w14:paraId="00000014">
      <w:pPr>
        <w:tabs>
          <w:tab w:val="left" w:pos="622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Poner a disposición de los educandos una serie de estrategias de comprensión   lectora básicas que les permitirá el desarrollo de diversas habilidades para abordar con más facilidad textos relacionados con su área de estudio en el idioma Inglés. </w:t>
      </w:r>
    </w:p>
    <w:p w:rsidR="00000000" w:rsidDel="00000000" w:rsidP="00000000" w:rsidRDefault="00000000" w:rsidRPr="00000000" w14:paraId="00000015">
      <w:pPr>
        <w:tabs>
          <w:tab w:val="left" w:pos="622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Específicos: </w:t>
      </w:r>
    </w:p>
    <w:p w:rsidR="00000000" w:rsidDel="00000000" w:rsidP="00000000" w:rsidRDefault="00000000" w:rsidRPr="00000000" w14:paraId="00000016">
      <w:pPr>
        <w:tabs>
          <w:tab w:val="left" w:pos="622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1.Conocer algunas estrategias de comprensión lectora.</w:t>
      </w:r>
    </w:p>
    <w:p w:rsidR="00000000" w:rsidDel="00000000" w:rsidP="00000000" w:rsidRDefault="00000000" w:rsidRPr="00000000" w14:paraId="00000017">
      <w:pPr>
        <w:tabs>
          <w:tab w:val="left" w:pos="622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2.Poner en práctica algunas estrategias elementales para la comprensión de lectura. </w:t>
      </w:r>
    </w:p>
    <w:p w:rsidR="00000000" w:rsidDel="00000000" w:rsidP="00000000" w:rsidRDefault="00000000" w:rsidRPr="00000000" w14:paraId="00000018">
      <w:pPr>
        <w:tabs>
          <w:tab w:val="left" w:pos="6225"/>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3.Conocer algunos tipos de preguntas para facilitar la lectura y el análisis de los textos.</w:t>
      </w:r>
    </w:p>
    <w:p w:rsidR="00000000" w:rsidDel="00000000" w:rsidP="00000000" w:rsidRDefault="00000000" w:rsidRPr="00000000" w14:paraId="00000019">
      <w:pPr>
        <w:tabs>
          <w:tab w:val="left" w:pos="6225"/>
        </w:tabs>
        <w:spacing w:after="240" w:before="24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tabs>
          <w:tab w:val="left" w:pos="6225"/>
        </w:tabs>
        <w:spacing w:after="240" w:before="24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tabs>
          <w:tab w:val="left" w:pos="6225"/>
        </w:tabs>
        <w:spacing w:after="0" w:before="240" w:lineRule="auto"/>
        <w:jc w:val="both"/>
        <w:rPr>
          <w:b w:val="1"/>
        </w:rPr>
      </w:pPr>
      <w:r w:rsidDel="00000000" w:rsidR="00000000" w:rsidRPr="00000000">
        <w:rPr>
          <w:rFonts w:ascii="Times New Roman" w:cs="Times New Roman" w:eastAsia="Times New Roman" w:hAnsi="Times New Roman"/>
          <w:b w:val="1"/>
          <w:highlight w:val="yellow"/>
          <w:rtl w:val="0"/>
        </w:rPr>
        <w:t xml:space="preserve"> </w:t>
      </w:r>
      <w:r w:rsidDel="00000000" w:rsidR="00000000" w:rsidRPr="00000000">
        <w:rPr>
          <w:rtl w:val="0"/>
        </w:rPr>
      </w:r>
    </w:p>
    <w:tbl>
      <w:tblPr>
        <w:tblStyle w:val="Table1"/>
        <w:tblW w:w="906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2175"/>
        <w:gridCol w:w="1305"/>
        <w:gridCol w:w="1650"/>
        <w:gridCol w:w="2355"/>
        <w:tblGridChange w:id="0">
          <w:tblGrid>
            <w:gridCol w:w="1575"/>
            <w:gridCol w:w="2175"/>
            <w:gridCol w:w="1305"/>
            <w:gridCol w:w="1650"/>
            <w:gridCol w:w="235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b8cce4" w:val="clear"/>
            <w:tcMar>
              <w:top w:w="100.0" w:type="dxa"/>
              <w:left w:w="80.0" w:type="dxa"/>
              <w:bottom w:w="100.0" w:type="dxa"/>
              <w:right w:w="80.0" w:type="dxa"/>
            </w:tcMar>
            <w:vAlign w:val="bottom"/>
          </w:tcPr>
          <w:p w:rsidR="00000000" w:rsidDel="00000000" w:rsidP="00000000" w:rsidRDefault="00000000" w:rsidRPr="00000000" w14:paraId="0000001C">
            <w:pPr>
              <w:tabs>
                <w:tab w:val="left" w:pos="6225"/>
              </w:tabs>
              <w:spacing w:after="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Componente</w:t>
            </w:r>
          </w:p>
        </w:tc>
        <w:tc>
          <w:tcPr>
            <w:tcBorders>
              <w:top w:color="000000" w:space="0" w:sz="8" w:val="single"/>
              <w:left w:color="000000" w:space="0" w:sz="0" w:val="nil"/>
              <w:bottom w:color="000000" w:space="0" w:sz="8" w:val="single"/>
              <w:right w:color="000000" w:space="0" w:sz="8" w:val="single"/>
            </w:tcBorders>
            <w:shd w:fill="b8cce4" w:val="clear"/>
            <w:tcMar>
              <w:top w:w="100.0" w:type="dxa"/>
              <w:left w:w="80.0" w:type="dxa"/>
              <w:bottom w:w="100.0" w:type="dxa"/>
              <w:right w:w="80.0" w:type="dxa"/>
            </w:tcMar>
            <w:vAlign w:val="bottom"/>
          </w:tcPr>
          <w:p w:rsidR="00000000" w:rsidDel="00000000" w:rsidP="00000000" w:rsidRDefault="00000000" w:rsidRPr="00000000" w14:paraId="0000001D">
            <w:pPr>
              <w:tabs>
                <w:tab w:val="left" w:pos="6225"/>
              </w:tabs>
              <w:spacing w:after="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Actividad</w:t>
            </w:r>
          </w:p>
        </w:tc>
        <w:tc>
          <w:tcPr>
            <w:tcBorders>
              <w:top w:color="000000" w:space="0" w:sz="8" w:val="single"/>
              <w:left w:color="000000" w:space="0" w:sz="0" w:val="nil"/>
              <w:bottom w:color="000000" w:space="0" w:sz="8" w:val="single"/>
              <w:right w:color="000000" w:space="0" w:sz="8" w:val="single"/>
            </w:tcBorders>
            <w:shd w:fill="b8cce4" w:val="clear"/>
            <w:tcMar>
              <w:top w:w="100.0" w:type="dxa"/>
              <w:left w:w="80.0" w:type="dxa"/>
              <w:bottom w:w="100.0" w:type="dxa"/>
              <w:right w:w="80.0" w:type="dxa"/>
            </w:tcMar>
            <w:vAlign w:val="bottom"/>
          </w:tcPr>
          <w:p w:rsidR="00000000" w:rsidDel="00000000" w:rsidP="00000000" w:rsidRDefault="00000000" w:rsidRPr="00000000" w14:paraId="0000001E">
            <w:pPr>
              <w:tabs>
                <w:tab w:val="left" w:pos="6225"/>
              </w:tabs>
              <w:spacing w:after="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Créditos</w:t>
            </w:r>
          </w:p>
        </w:tc>
        <w:tc>
          <w:tcPr>
            <w:tcBorders>
              <w:top w:color="000000" w:space="0" w:sz="8" w:val="single"/>
              <w:left w:color="000000" w:space="0" w:sz="0" w:val="nil"/>
              <w:bottom w:color="000000" w:space="0" w:sz="8" w:val="single"/>
              <w:right w:color="000000" w:space="0" w:sz="8" w:val="single"/>
            </w:tcBorders>
            <w:shd w:fill="b8cce4" w:val="clear"/>
            <w:tcMar>
              <w:top w:w="100.0" w:type="dxa"/>
              <w:left w:w="80.0" w:type="dxa"/>
              <w:bottom w:w="100.0" w:type="dxa"/>
              <w:right w:w="80.0" w:type="dxa"/>
            </w:tcMar>
            <w:vAlign w:val="bottom"/>
          </w:tcPr>
          <w:p w:rsidR="00000000" w:rsidDel="00000000" w:rsidP="00000000" w:rsidRDefault="00000000" w:rsidRPr="00000000" w14:paraId="0000001F">
            <w:pPr>
              <w:tabs>
                <w:tab w:val="left" w:pos="6225"/>
              </w:tabs>
              <w:spacing w:after="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Presenciales</w:t>
            </w:r>
          </w:p>
        </w:tc>
        <w:tc>
          <w:tcPr>
            <w:tcBorders>
              <w:top w:color="000000" w:space="0" w:sz="8" w:val="single"/>
              <w:left w:color="000000" w:space="0" w:sz="0" w:val="nil"/>
              <w:bottom w:color="000000" w:space="0" w:sz="8" w:val="single"/>
              <w:right w:color="000000" w:space="0" w:sz="8" w:val="single"/>
            </w:tcBorders>
            <w:shd w:fill="b8cce4" w:val="clear"/>
            <w:tcMar>
              <w:top w:w="100.0" w:type="dxa"/>
              <w:left w:w="80.0" w:type="dxa"/>
              <w:bottom w:w="100.0" w:type="dxa"/>
              <w:right w:w="80.0" w:type="dxa"/>
            </w:tcMar>
            <w:vAlign w:val="bottom"/>
          </w:tcPr>
          <w:p w:rsidR="00000000" w:rsidDel="00000000" w:rsidP="00000000" w:rsidRDefault="00000000" w:rsidRPr="00000000" w14:paraId="00000020">
            <w:pPr>
              <w:tabs>
                <w:tab w:val="left" w:pos="6225"/>
              </w:tabs>
              <w:spacing w:after="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 presenciales</w:t>
            </w:r>
          </w:p>
        </w:tc>
      </w:tr>
      <w:tr>
        <w:trPr>
          <w:cantSplit w:val="0"/>
          <w:trHeight w:val="485" w:hRule="atLeast"/>
          <w:tblHeader w:val="0"/>
        </w:trPr>
        <w:tc>
          <w:tcPr>
            <w:vMerge w:val="restart"/>
            <w:tcBorders>
              <w:top w:color="000000" w:space="0" w:sz="8" w:val="single"/>
              <w:left w:color="000000" w:space="0" w:sz="8" w:val="single"/>
              <w:bottom w:color="000000" w:space="0" w:sz="8" w:val="single"/>
              <w:right w:color="000000" w:space="0" w:sz="8" w:val="single"/>
            </w:tcBorders>
            <w:shd w:fill="ffffff" w:val="clear"/>
            <w:tcMar>
              <w:left w:w="80.0" w:type="dxa"/>
              <w:right w:w="80.0" w:type="dxa"/>
            </w:tcMar>
          </w:tcPr>
          <w:p w:rsidR="00000000" w:rsidDel="00000000" w:rsidP="00000000" w:rsidRDefault="00000000" w:rsidRPr="00000000" w14:paraId="00000021">
            <w:pPr>
              <w:tabs>
                <w:tab w:val="left" w:pos="6225"/>
              </w:tabs>
              <w:jc w:val="both"/>
              <w:rPr>
                <w:b w:val="1"/>
              </w:rPr>
            </w:pPr>
            <w:r w:rsidDel="00000000" w:rsidR="00000000" w:rsidRPr="00000000">
              <w:rPr>
                <w:b w:val="1"/>
                <w:rtl w:val="0"/>
              </w:rPr>
              <w:t xml:space="preserve">Teórico</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bottom"/>
          </w:tcPr>
          <w:p w:rsidR="00000000" w:rsidDel="00000000" w:rsidP="00000000" w:rsidRDefault="00000000" w:rsidRPr="00000000" w14:paraId="00000022">
            <w:pPr>
              <w:tabs>
                <w:tab w:val="left" w:pos="6225"/>
              </w:tabs>
              <w:spacing w:after="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Inglés técnico I</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bottom"/>
          </w:tcPr>
          <w:p w:rsidR="00000000" w:rsidDel="00000000" w:rsidP="00000000" w:rsidRDefault="00000000" w:rsidRPr="00000000" w14:paraId="00000023">
            <w:pPr>
              <w:tabs>
                <w:tab w:val="left" w:pos="6225"/>
              </w:tabs>
              <w:spacing w:after="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bottom"/>
          </w:tcPr>
          <w:p w:rsidR="00000000" w:rsidDel="00000000" w:rsidP="00000000" w:rsidRDefault="00000000" w:rsidRPr="00000000" w14:paraId="00000024">
            <w:pPr>
              <w:tabs>
                <w:tab w:val="left" w:pos="6225"/>
              </w:tabs>
              <w:spacing w:after="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bottom"/>
          </w:tcPr>
          <w:p w:rsidR="00000000" w:rsidDel="00000000" w:rsidP="00000000" w:rsidRDefault="00000000" w:rsidRPr="00000000" w14:paraId="00000025">
            <w:pPr>
              <w:tabs>
                <w:tab w:val="left" w:pos="6225"/>
              </w:tabs>
              <w:spacing w:after="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64</w:t>
            </w:r>
          </w:p>
        </w:tc>
      </w:tr>
      <w:tr>
        <w:trPr>
          <w:cantSplit w:val="0"/>
          <w:trHeight w:val="48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tabs>
                <w:tab w:val="left" w:pos="6225"/>
              </w:tabs>
              <w:jc w:val="both"/>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bottom"/>
          </w:tcPr>
          <w:p w:rsidR="00000000" w:rsidDel="00000000" w:rsidP="00000000" w:rsidRDefault="00000000" w:rsidRPr="00000000" w14:paraId="00000027">
            <w:pPr>
              <w:tabs>
                <w:tab w:val="left" w:pos="6225"/>
              </w:tabs>
              <w:spacing w:after="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Inglés técnico II</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bottom"/>
          </w:tcPr>
          <w:p w:rsidR="00000000" w:rsidDel="00000000" w:rsidP="00000000" w:rsidRDefault="00000000" w:rsidRPr="00000000" w14:paraId="00000028">
            <w:pPr>
              <w:tabs>
                <w:tab w:val="left" w:pos="6225"/>
              </w:tabs>
              <w:spacing w:after="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bottom"/>
          </w:tcPr>
          <w:p w:rsidR="00000000" w:rsidDel="00000000" w:rsidP="00000000" w:rsidRDefault="00000000" w:rsidRPr="00000000" w14:paraId="00000029">
            <w:pPr>
              <w:tabs>
                <w:tab w:val="left" w:pos="6225"/>
              </w:tabs>
              <w:spacing w:after="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w:t>
            </w:r>
          </w:p>
        </w:tc>
        <w:tc>
          <w:tcPr>
            <w:tcBorders>
              <w:top w:color="000000" w:space="0" w:sz="0" w:val="nil"/>
              <w:left w:color="000000" w:space="0" w:sz="0" w:val="nil"/>
              <w:bottom w:color="000000" w:space="0" w:sz="8" w:val="single"/>
              <w:right w:color="000000" w:space="0" w:sz="8" w:val="single"/>
            </w:tcBorders>
            <w:shd w:fill="ffffff" w:val="clear"/>
            <w:tcMar>
              <w:top w:w="100.0" w:type="dxa"/>
              <w:left w:w="80.0" w:type="dxa"/>
              <w:bottom w:w="100.0" w:type="dxa"/>
              <w:right w:w="80.0" w:type="dxa"/>
            </w:tcMar>
            <w:vAlign w:val="bottom"/>
          </w:tcPr>
          <w:p w:rsidR="00000000" w:rsidDel="00000000" w:rsidP="00000000" w:rsidRDefault="00000000" w:rsidRPr="00000000" w14:paraId="0000002A">
            <w:pPr>
              <w:tabs>
                <w:tab w:val="left" w:pos="6225"/>
              </w:tabs>
              <w:spacing w:after="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64</w:t>
            </w:r>
          </w:p>
        </w:tc>
      </w:tr>
    </w:tbl>
    <w:p w:rsidR="00000000" w:rsidDel="00000000" w:rsidP="00000000" w:rsidRDefault="00000000" w:rsidRPr="00000000" w14:paraId="0000002B">
      <w:pPr>
        <w:tabs>
          <w:tab w:val="left" w:pos="6225"/>
        </w:tabs>
        <w:jc w:val="both"/>
        <w:rPr>
          <w:b w:val="1"/>
        </w:rPr>
      </w:pPr>
      <w:r w:rsidDel="00000000" w:rsidR="00000000" w:rsidRPr="00000000">
        <w:rPr>
          <w:rtl w:val="0"/>
        </w:rPr>
      </w:r>
    </w:p>
    <w:p w:rsidR="00000000" w:rsidDel="00000000" w:rsidP="00000000" w:rsidRDefault="00000000" w:rsidRPr="00000000" w14:paraId="0000002C">
      <w:pPr>
        <w:tabs>
          <w:tab w:val="left" w:pos="6225"/>
        </w:tabs>
        <w:jc w:val="both"/>
        <w:rPr>
          <w:b w:val="1"/>
        </w:rPr>
      </w:pPr>
      <w:r w:rsidDel="00000000" w:rsidR="00000000" w:rsidRPr="00000000">
        <w:rPr>
          <w:rtl w:val="0"/>
        </w:rPr>
      </w:r>
    </w:p>
    <w:sectPr>
      <w:headerReference r:id="rId6"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-1080133</wp:posOffset>
          </wp:positionH>
          <wp:positionV relativeFrom="paragraph">
            <wp:posOffset>-448308</wp:posOffset>
          </wp:positionV>
          <wp:extent cx="7878426" cy="10194352"/>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78426" cy="1019435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