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3.3.3.1.e)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(humanos, financieros, tecnológicos y físicos) requeridos en la implementación de las actividades descritas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El apoyo administrativo para la Ingeniería Mecatrónica, se acoge a la estructura administrativa de la Universidad. Por tanto, el apoyo se ejerce desde las distintas dependencias administrativas como Admisiones y Registro para todo lo relacionado con matrículas, programación académica, historia académica de los estudiantes, y demás aspectos académicos de los estudiantes. Así mismo, dicha dependencia genera apoyo en el manejo y programación de aulas y auditorios. También se cuenta con el apoyo de la oficina de presupuesto en lo referente a la contabilización de los gastos e ingresos del programa, así como de la gestión presupuestal. 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La Vicerrectoría académica, en línea con las vicerrectorías de   Investigación y proyección, y las siguientes dependencias administrativas también son de apoyo para el programa de ingeniería mecatrónica: la Dirección de Planeación, la Dirección Administrativa y Financiera, la Dirección de Relaciones Internacionales, el Centro de Educación Continua (CEC), el Departamento de Mercadeo Institucional, registro académico.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>
          <w:highlight w:val="cyan"/>
        </w:rPr>
      </w:pPr>
      <w:r w:rsidDel="00000000" w:rsidR="00000000" w:rsidRPr="00000000">
        <w:rPr>
          <w:rtl w:val="0"/>
        </w:rPr>
        <w:t xml:space="preserve">La existencia de una estructura organizativa, sistemas de información y mecanismos de gestión que permitan ejecutar procesos de planeación, administración, evaluación y seguimiento de los contenidos curriculares, de las experiencias investigativas y de los diferentes servicios y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/>
      </w:pPr>
      <w:r w:rsidDel="00000000" w:rsidR="00000000" w:rsidRPr="00000000">
        <w:rPr/>
        <w:drawing>
          <wp:inline distB="0" distT="0" distL="0" distR="0">
            <wp:extent cx="5612130" cy="23615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225"/>
        </w:tabs>
        <w:jc w:val="both"/>
        <w:rPr/>
      </w:pPr>
      <w:r w:rsidDel="00000000" w:rsidR="00000000" w:rsidRPr="00000000">
        <w:rPr>
          <w:b w:val="1"/>
          <w:rtl w:val="0"/>
        </w:rPr>
        <w:t xml:space="preserve">Parágrafo 2:</w:t>
      </w:r>
      <w:r w:rsidDel="00000000" w:rsidR="00000000" w:rsidRPr="00000000">
        <w:rPr>
          <w:rtl w:val="0"/>
        </w:rPr>
        <w:t xml:space="preserve"> Los programas académicos a que se refiere este acuerdo y los programas especiales de pregrado, podrán vincular docentes de plata y docentes ocasionales de tiempo completo o medio tiempo, según las necesidades del servicio, quienes desarrollarán su carga académica en la impartición de actividades académicas</w:t>
      </w:r>
    </w:p>
    <w:p w:rsidR="00000000" w:rsidDel="00000000" w:rsidP="00000000" w:rsidRDefault="00000000" w:rsidRPr="00000000" w14:paraId="0000000C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Los desarrollos permanentes han llevado a las  Universidades a un proceso de autoevaluación basado en la realidad de su entorno; tanto, para la producción, oferta y uso industrial de la tecnología, como para las actitudes y aptitudes de los profesionales. Las Universidades han diseñado el currículo de los programas de Ingeniería en Mecatrónica a nivel de pregrado, en que las diferentes tecnologías se piensan como una sola; no como máquina integradora, sino como máquina autónoma, ya sea de aplicación industrial, corporativa o de uso domiciliario o personal; es decir como disciplina única e independiente.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6225"/>
        </w:tabs>
        <w:ind w:left="1440" w:hanging="360"/>
        <w:jc w:val="both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225"/>
        </w:tabs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44c0/RbQ+szTzRU6nU63DugvcQ==">AMUW2mW4ZHtItwN6jBpRW/xqlyNiPa3agrFUN9ZMKFjwxubkMuADxR0y8/Hjx899pmZEbObTIPOsvjAM8XH0Icp7ErgyMgrZNZnZ7O9elAnbo0AwgMYTfsc=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2021-06-02T14:21:00Z</dcterms:created>
  <dc:creator>Usuario</dc:creator>
</cp:coreProperties>
</file>