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PROCESO DE RENOVACIÓN DE REGISTRO CALIFICADO</w:t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INGENIERÍA MECATRÓNICA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ANEXO 3.</w:t>
      </w:r>
      <w:r w:rsidDel="00000000" w:rsidR="00000000" w:rsidRPr="00000000">
        <w:rPr>
          <w:b w:val="1"/>
          <w:rtl w:val="0"/>
        </w:rPr>
        <w:t xml:space="preserve">6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.2</w:t>
      </w:r>
    </w:p>
    <w:p w:rsidR="00000000" w:rsidDel="00000000" w:rsidP="00000000" w:rsidRDefault="00000000" w:rsidRPr="00000000" w14:paraId="00000005">
      <w:pPr>
        <w:tabs>
          <w:tab w:val="left" w:pos="6225"/>
        </w:tabs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Descripción de las actividades académicas, docentes, formativas, científicas, culturales y de extensión que se proyectan implementar en la nueva vigencia del registro calificado para favorecer la internacionalización, incluyendo los recursos (humanos, financieros, tecnológicos y físicos) requeridos para la ejecución de dichas actividades</w:t>
      </w:r>
    </w:p>
    <w:p w:rsidR="00000000" w:rsidDel="00000000" w:rsidP="00000000" w:rsidRDefault="00000000" w:rsidRPr="00000000" w14:paraId="00000006">
      <w:pPr>
        <w:tabs>
          <w:tab w:val="left" w:pos="6225"/>
        </w:tabs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pos="6225"/>
        </w:tabs>
        <w:jc w:val="both"/>
        <w:rPr/>
      </w:pPr>
      <w:r w:rsidDel="00000000" w:rsidR="00000000" w:rsidRPr="00000000">
        <w:rPr>
          <w:rtl w:val="0"/>
        </w:rPr>
        <w:t xml:space="preserve">Ingeniería Mecatrónica </w:t>
      </w:r>
      <w:r w:rsidDel="00000000" w:rsidR="00000000" w:rsidRPr="00000000">
        <w:rPr>
          <w:rtl w:val="0"/>
        </w:rPr>
        <w:t xml:space="preserve">busca la formación de investigadores a través del desarrollo de las competencias básicas de investigación en los estudiantes. Esta formación se genera desde los semilleros de investigación, y se fomenta a los estudiantes a participar mediante la investigación formativa. La flexibilidad del Programa en términos investigativos es amplia toda vez que ofrece líneas de investigación en cada área de énfasis (instrumentación y control, bioingeniería, Energías renovables, control y procesamiento digital de señales.</w:t>
      </w:r>
    </w:p>
    <w:p w:rsidR="00000000" w:rsidDel="00000000" w:rsidP="00000000" w:rsidRDefault="00000000" w:rsidRPr="00000000" w14:paraId="00000008">
      <w:pPr>
        <w:tabs>
          <w:tab w:val="left" w:pos="6225"/>
        </w:tabs>
        <w:jc w:val="both"/>
        <w:rPr/>
      </w:pPr>
      <w:r w:rsidDel="00000000" w:rsidR="00000000" w:rsidRPr="00000000">
        <w:rPr>
          <w:rtl w:val="0"/>
        </w:rPr>
        <w:t xml:space="preserve">Ingeniería mecatrónica genera trabajo interdisciplinario a través de los profesores que participan en otros grupos de investigación, también las tesis que pueden ser asesoradas por profesores externos y de los convenios firmados y habilitados. La relevancia de las líneas de investigación y de las tesis es alta dado que el objeto del grupo de investigación y del programa se enfoca en la generación de conocimiento e innovación que aporte al desarrollo del área de conocimiento en mecatrónica  a nivel local, nacional y regional.</w:t>
      </w:r>
    </w:p>
    <w:p w:rsidR="00000000" w:rsidDel="00000000" w:rsidP="00000000" w:rsidRDefault="00000000" w:rsidRPr="00000000" w14:paraId="00000009">
      <w:pPr>
        <w:tabs>
          <w:tab w:val="left" w:pos="6225"/>
        </w:tabs>
        <w:jc w:val="both"/>
        <w:rPr/>
      </w:pPr>
      <w:r w:rsidDel="00000000" w:rsidR="00000000" w:rsidRPr="00000000">
        <w:rPr>
          <w:rtl w:val="0"/>
        </w:rPr>
        <w:t xml:space="preserve">Ingeniería mecatrónica se enfoca en favorecer la internacionalización de la malla curricular y bilingüismo, de los estudiantes y profesores, y de la investigación. La internacionalización del Programa se establece desde la vinculación de docentes cuyo perfil se destaque por su formación internacional o por investigaciones con impacto en revistas indexadas y en comunidad académica exterior, para el liderazgo de los cursos y su estructuración. La investigación se ha internacionalizado también a través de la planta docente y sus pasantías en el exterior, lo cual permite que los proyectos de los estudiantes se enfoquen en un entorno global. </w:t>
      </w:r>
    </w:p>
    <w:p w:rsidR="00000000" w:rsidDel="00000000" w:rsidP="00000000" w:rsidRDefault="00000000" w:rsidRPr="00000000" w14:paraId="0000000A">
      <w:pPr>
        <w:tabs>
          <w:tab w:val="left" w:pos="6225"/>
        </w:tabs>
        <w:jc w:val="both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-1080133</wp:posOffset>
          </wp:positionH>
          <wp:positionV relativeFrom="paragraph">
            <wp:posOffset>-448308</wp:posOffset>
          </wp:positionV>
          <wp:extent cx="7878426" cy="10194352"/>
          <wp:effectExtent b="0" l="0" r="0" t="0"/>
          <wp:wrapNone/>
          <wp:docPr id="3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878426" cy="10194352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9C0A9C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9C0A9C"/>
  </w:style>
  <w:style w:type="paragraph" w:styleId="Piedepgina">
    <w:name w:val="footer"/>
    <w:basedOn w:val="Normal"/>
    <w:link w:val="PiedepginaCar"/>
    <w:uiPriority w:val="99"/>
    <w:unhideWhenUsed w:val="1"/>
    <w:rsid w:val="009C0A9C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9C0A9C"/>
  </w:style>
  <w:style w:type="paragraph" w:styleId="Sinespaciado">
    <w:name w:val="No Spacing"/>
    <w:uiPriority w:val="1"/>
    <w:qFormat w:val="1"/>
    <w:rsid w:val="009C0A9C"/>
    <w:pPr>
      <w:spacing w:after="0" w:line="240" w:lineRule="auto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muq4n+A1eLR5x5VJBhY77R6caQ==">AMUW2mVPB+Ai0yt+YnT6BO46TXnpORM5AZ9NYZFXbJq/E1QVf1lAgPknNpgiqBeON8jR1XBVt9F9aOtO+dhVQ8fiRuAVq/IUq40HBubobQB4VGmN0vip+T4=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2021-06-02T14:23:00Z</dcterms:created>
  <dc:creator>Usuario</dc:creator>
</cp:coreProperties>
</file>