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4A9E" w14:textId="77777777" w:rsidR="000428BB" w:rsidRDefault="000428BB"/>
    <w:p w14:paraId="3B555E73" w14:textId="77777777" w:rsidR="000428B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14:paraId="55152D74" w14:textId="57810A28" w:rsidR="000428BB" w:rsidRDefault="00BB6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</w:rPr>
        <w:t>INGENIERIA MECATRONICA</w:t>
      </w:r>
    </w:p>
    <w:p w14:paraId="287DA684" w14:textId="77777777" w:rsidR="000428B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>
        <w:rPr>
          <w:b/>
          <w:color w:val="000000"/>
        </w:rPr>
        <w:t>ANEXO 5.</w:t>
      </w:r>
      <w:r>
        <w:rPr>
          <w:b/>
        </w:rPr>
        <w:t>2.2</w:t>
      </w:r>
    </w:p>
    <w:p w14:paraId="7769D497" w14:textId="77777777" w:rsidR="000428BB" w:rsidRDefault="000428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</w:p>
    <w:p w14:paraId="320D9F5D" w14:textId="77777777" w:rsidR="000428BB" w:rsidRDefault="00000000">
      <w:pPr>
        <w:spacing w:after="0"/>
        <w:jc w:val="center"/>
        <w:rPr>
          <w:b/>
        </w:rPr>
      </w:pPr>
      <w:r>
        <w:rPr>
          <w:rFonts w:ascii="Times New Roman" w:eastAsia="Times New Roman" w:hAnsi="Times New Roman" w:cs="Times New Roman"/>
          <w:b/>
        </w:rPr>
        <w:t>Un documento en el que se plantee los problemas o necesidades de la región y el país que serán atendidas con el desarrollo de la investigación innovación y/o creación artística en el campo específico del programa de formación durante la nueva vigencia de registro calificado.</w:t>
      </w:r>
    </w:p>
    <w:p w14:paraId="4FA78C06" w14:textId="77777777" w:rsidR="000428BB" w:rsidRDefault="000428BB">
      <w:pPr>
        <w:tabs>
          <w:tab w:val="left" w:pos="6225"/>
        </w:tabs>
        <w:jc w:val="both"/>
      </w:pPr>
    </w:p>
    <w:p w14:paraId="69B3A8D4" w14:textId="77777777" w:rsidR="000428BB" w:rsidRDefault="00000000">
      <w:pPr>
        <w:spacing w:after="0" w:line="276" w:lineRule="auto"/>
        <w:jc w:val="both"/>
      </w:pPr>
      <w:r>
        <w:t>El programa mantiene los estándares de calidad, que han caracterizado a la Universidad de Caldas como una de las pioneras en la formación regional y nacional. El programa es necesario para liderar las acciones que el país requiere en su proceso de revolución industrial y específicamente en las siguientes dimensiones:</w:t>
      </w:r>
    </w:p>
    <w:p w14:paraId="2C60C760" w14:textId="77777777" w:rsidR="000428BB" w:rsidRDefault="000428BB">
      <w:pPr>
        <w:spacing w:after="0" w:line="276" w:lineRule="auto"/>
        <w:jc w:val="both"/>
      </w:pPr>
    </w:p>
    <w:p w14:paraId="17CD791B" w14:textId="77777777" w:rsidR="000428BB" w:rsidRDefault="00000000">
      <w:pPr>
        <w:numPr>
          <w:ilvl w:val="0"/>
          <w:numId w:val="4"/>
        </w:numPr>
        <w:spacing w:after="0" w:line="276" w:lineRule="auto"/>
        <w:jc w:val="both"/>
      </w:pPr>
      <w:r>
        <w:t>Apropiación y adaptación de nuevas tecnologías.</w:t>
      </w:r>
    </w:p>
    <w:p w14:paraId="40ABC25F" w14:textId="77777777" w:rsidR="000428BB" w:rsidRDefault="00000000">
      <w:pPr>
        <w:numPr>
          <w:ilvl w:val="0"/>
          <w:numId w:val="4"/>
        </w:numPr>
        <w:spacing w:after="0" w:line="276" w:lineRule="auto"/>
        <w:jc w:val="both"/>
      </w:pPr>
      <w:r>
        <w:t>Actualización y renovación de conocimientos.</w:t>
      </w:r>
    </w:p>
    <w:p w14:paraId="184C8DE1" w14:textId="77777777" w:rsidR="000428BB" w:rsidRDefault="00000000">
      <w:pPr>
        <w:numPr>
          <w:ilvl w:val="0"/>
          <w:numId w:val="4"/>
        </w:numPr>
        <w:spacing w:after="0" w:line="276" w:lineRule="auto"/>
        <w:jc w:val="both"/>
      </w:pPr>
      <w:r>
        <w:t>Aplicación de soluciones tecnológicas a los problemas del país.</w:t>
      </w:r>
    </w:p>
    <w:p w14:paraId="4BEBC2A2" w14:textId="77777777" w:rsidR="000428BB" w:rsidRDefault="00000000">
      <w:pPr>
        <w:numPr>
          <w:ilvl w:val="0"/>
          <w:numId w:val="4"/>
        </w:numPr>
        <w:spacing w:after="0" w:line="276" w:lineRule="auto"/>
        <w:jc w:val="both"/>
      </w:pPr>
      <w:r>
        <w:t>Desarrollo Científico.</w:t>
      </w:r>
    </w:p>
    <w:p w14:paraId="2E96AF26" w14:textId="77777777" w:rsidR="000428BB" w:rsidRDefault="00000000">
      <w:pPr>
        <w:numPr>
          <w:ilvl w:val="0"/>
          <w:numId w:val="4"/>
        </w:numPr>
        <w:spacing w:after="0" w:line="276" w:lineRule="auto"/>
        <w:jc w:val="both"/>
      </w:pPr>
      <w:r>
        <w:t xml:space="preserve">Aplicación de tecnologías limpias.   </w:t>
      </w:r>
    </w:p>
    <w:p w14:paraId="65CA06AA" w14:textId="77777777" w:rsidR="000428BB" w:rsidRDefault="000428BB">
      <w:pPr>
        <w:spacing w:after="0" w:line="276" w:lineRule="auto"/>
        <w:jc w:val="both"/>
      </w:pPr>
    </w:p>
    <w:p w14:paraId="126E9B00" w14:textId="77777777" w:rsidR="000428BB" w:rsidRDefault="00000000">
      <w:pPr>
        <w:spacing w:after="0" w:line="276" w:lineRule="auto"/>
        <w:jc w:val="both"/>
      </w:pPr>
      <w:r>
        <w:t>Dichas dimensiones deben asegurar la generación y aplicación del conocimiento en las líneas que garanticen su plena aplicabilidad y proyección hacia la comunidad y sus problemas como son:</w:t>
      </w:r>
    </w:p>
    <w:p w14:paraId="383D106A" w14:textId="77777777" w:rsidR="000428BB" w:rsidRDefault="000428BB">
      <w:pPr>
        <w:spacing w:after="0" w:line="276" w:lineRule="auto"/>
        <w:jc w:val="both"/>
      </w:pPr>
    </w:p>
    <w:p w14:paraId="19AB7BF1" w14:textId="77777777" w:rsidR="000428BB" w:rsidRDefault="00000000">
      <w:pPr>
        <w:numPr>
          <w:ilvl w:val="0"/>
          <w:numId w:val="1"/>
        </w:numPr>
        <w:spacing w:after="0" w:line="276" w:lineRule="auto"/>
        <w:jc w:val="both"/>
      </w:pPr>
      <w:r>
        <w:t>Sistematización de procesos industriales.</w:t>
      </w:r>
    </w:p>
    <w:p w14:paraId="62BE8053" w14:textId="77777777" w:rsidR="000428BB" w:rsidRDefault="00000000">
      <w:pPr>
        <w:numPr>
          <w:ilvl w:val="0"/>
          <w:numId w:val="1"/>
        </w:numPr>
        <w:spacing w:after="0" w:line="276" w:lineRule="auto"/>
        <w:jc w:val="both"/>
      </w:pPr>
      <w:r>
        <w:t>Automatización de procesos industriales.</w:t>
      </w:r>
    </w:p>
    <w:p w14:paraId="414DDDB3" w14:textId="77777777" w:rsidR="000428BB" w:rsidRDefault="00000000">
      <w:pPr>
        <w:numPr>
          <w:ilvl w:val="0"/>
          <w:numId w:val="1"/>
        </w:numPr>
        <w:spacing w:after="0" w:line="276" w:lineRule="auto"/>
        <w:jc w:val="both"/>
      </w:pPr>
      <w:r>
        <w:t>Control de sistemas industriales.</w:t>
      </w:r>
    </w:p>
    <w:p w14:paraId="633EE4EE" w14:textId="77777777" w:rsidR="000428BB" w:rsidRDefault="00000000">
      <w:pPr>
        <w:numPr>
          <w:ilvl w:val="0"/>
          <w:numId w:val="1"/>
        </w:numPr>
        <w:spacing w:after="0" w:line="276" w:lineRule="auto"/>
        <w:jc w:val="both"/>
      </w:pPr>
      <w:r>
        <w:t>Mantenimiento de maquinaria y equipos en general.</w:t>
      </w:r>
    </w:p>
    <w:p w14:paraId="7EE1748B" w14:textId="77777777" w:rsidR="000428BB" w:rsidRDefault="00000000">
      <w:pPr>
        <w:numPr>
          <w:ilvl w:val="0"/>
          <w:numId w:val="1"/>
        </w:numPr>
        <w:spacing w:after="0" w:line="276" w:lineRule="auto"/>
        <w:jc w:val="both"/>
      </w:pPr>
      <w:r>
        <w:t>Tratamiento y control de las comunicaciones.</w:t>
      </w:r>
    </w:p>
    <w:p w14:paraId="2A4102E4" w14:textId="77777777" w:rsidR="000428BB" w:rsidRDefault="00000000">
      <w:pPr>
        <w:numPr>
          <w:ilvl w:val="0"/>
          <w:numId w:val="1"/>
        </w:numPr>
        <w:spacing w:after="0" w:line="276" w:lineRule="auto"/>
        <w:jc w:val="both"/>
      </w:pPr>
      <w:r>
        <w:t>Estandarización de procesos.</w:t>
      </w:r>
    </w:p>
    <w:p w14:paraId="1B18AB30" w14:textId="77777777" w:rsidR="000428BB" w:rsidRDefault="00000000">
      <w:pPr>
        <w:numPr>
          <w:ilvl w:val="0"/>
          <w:numId w:val="1"/>
        </w:numPr>
        <w:spacing w:after="0" w:line="276" w:lineRule="auto"/>
        <w:jc w:val="both"/>
      </w:pPr>
      <w:r>
        <w:t xml:space="preserve">Diseño, construcción y montaje de maquinaria. </w:t>
      </w:r>
    </w:p>
    <w:p w14:paraId="1C6C196C" w14:textId="77777777" w:rsidR="000428BB" w:rsidRDefault="00000000">
      <w:pPr>
        <w:spacing w:after="0" w:line="276" w:lineRule="auto"/>
        <w:jc w:val="both"/>
      </w:pPr>
      <w:r>
        <w:t xml:space="preserve"> </w:t>
      </w:r>
    </w:p>
    <w:p w14:paraId="7A17F48F" w14:textId="77777777" w:rsidR="000428BB" w:rsidRDefault="00000000">
      <w:pPr>
        <w:spacing w:after="0" w:line="276" w:lineRule="auto"/>
        <w:jc w:val="both"/>
      </w:pPr>
      <w:r>
        <w:t xml:space="preserve">Teniendo en cuenta que los fines se enmarcan dentro de la política educacional de nuestro país resaltaremos </w:t>
      </w:r>
      <w:proofErr w:type="gramStart"/>
      <w:r>
        <w:t>que</w:t>
      </w:r>
      <w:proofErr w:type="gramEnd"/>
      <w:r>
        <w:t xml:space="preserve"> para la ingeniería, dichas metas representan lo que se desea como necesidad de formación y enfocado a nuestro entorno con base en el conocimiento que se imparte.  Dichas metas o fines tienen como base a una formación que se proyecta hacia:</w:t>
      </w:r>
    </w:p>
    <w:p w14:paraId="040E183A" w14:textId="77777777" w:rsidR="000428BB" w:rsidRDefault="000428BB">
      <w:pPr>
        <w:spacing w:after="0" w:line="276" w:lineRule="auto"/>
        <w:jc w:val="both"/>
      </w:pPr>
    </w:p>
    <w:p w14:paraId="2BC4095E" w14:textId="77777777" w:rsidR="000428BB" w:rsidRDefault="00000000">
      <w:pPr>
        <w:numPr>
          <w:ilvl w:val="0"/>
          <w:numId w:val="3"/>
        </w:numPr>
        <w:spacing w:after="0" w:line="276" w:lineRule="auto"/>
        <w:jc w:val="both"/>
      </w:pPr>
      <w:r>
        <w:t xml:space="preserve">El respeto a la vida y los demás derechos humanos, la paz y los principios democráticos de convivencia pluralismo, justicia, solidaridad y equidad, así como el ejercicio de la tolerancia y la libertad. </w:t>
      </w:r>
    </w:p>
    <w:p w14:paraId="1AA819A4" w14:textId="77777777" w:rsidR="000428BB" w:rsidRDefault="00000000">
      <w:pPr>
        <w:numPr>
          <w:ilvl w:val="0"/>
          <w:numId w:val="3"/>
        </w:numPr>
        <w:spacing w:after="0" w:line="276" w:lineRule="auto"/>
        <w:jc w:val="both"/>
      </w:pPr>
      <w:r>
        <w:t xml:space="preserve">La participación de todos en las decisiones que los afectan en la vida. Económica, política administrativa y cultural de la Nación. </w:t>
      </w:r>
    </w:p>
    <w:p w14:paraId="3DEC6EC9" w14:textId="77777777" w:rsidR="000428BB" w:rsidRDefault="00000000">
      <w:pPr>
        <w:numPr>
          <w:ilvl w:val="0"/>
          <w:numId w:val="3"/>
        </w:numPr>
        <w:spacing w:after="0" w:line="276" w:lineRule="auto"/>
        <w:jc w:val="both"/>
      </w:pPr>
      <w:r>
        <w:lastRenderedPageBreak/>
        <w:t>El respeto a la autoridad legítima y a la ley 189, a la cultura nacional a la historia colombiana y a los símbolos patrios</w:t>
      </w:r>
    </w:p>
    <w:p w14:paraId="3262F66D" w14:textId="77777777" w:rsidR="000428BB" w:rsidRDefault="00000000">
      <w:pPr>
        <w:numPr>
          <w:ilvl w:val="0"/>
          <w:numId w:val="3"/>
        </w:numPr>
        <w:spacing w:after="0" w:line="276" w:lineRule="auto"/>
        <w:jc w:val="both"/>
      </w:pPr>
      <w:r>
        <w:t xml:space="preserve">La adquisición de una conciencia para la conservación, protección y mejoramiento del medio ambiente de la calidad de vida, de uso racional de los recursos naturales, de la prevención de desastres, dentro de una cultura ecológica y del riesgo y la defensa del patriotismo cultural de la nación. </w:t>
      </w:r>
    </w:p>
    <w:p w14:paraId="19949289" w14:textId="77777777" w:rsidR="000428BB" w:rsidRDefault="000428BB">
      <w:pPr>
        <w:spacing w:after="0" w:line="276" w:lineRule="auto"/>
        <w:jc w:val="both"/>
      </w:pPr>
    </w:p>
    <w:p w14:paraId="73C64A90" w14:textId="77777777" w:rsidR="000428BB" w:rsidRDefault="00000000">
      <w:pPr>
        <w:spacing w:after="0" w:line="276" w:lineRule="auto"/>
        <w:jc w:val="both"/>
      </w:pPr>
      <w:r>
        <w:rPr>
          <w:b/>
        </w:rPr>
        <w:t>Además de todo lo anterior se tiene como propósito y finalidad el llevar a cabo labores que garanticen</w:t>
      </w:r>
      <w:r>
        <w:t xml:space="preserve">: </w:t>
      </w:r>
    </w:p>
    <w:p w14:paraId="19276A61" w14:textId="77777777" w:rsidR="000428BB" w:rsidRDefault="000428BB">
      <w:pPr>
        <w:spacing w:after="0" w:line="276" w:lineRule="auto"/>
        <w:jc w:val="both"/>
      </w:pPr>
    </w:p>
    <w:p w14:paraId="1828CCA7" w14:textId="77777777" w:rsidR="000428BB" w:rsidRDefault="00000000">
      <w:pPr>
        <w:numPr>
          <w:ilvl w:val="0"/>
          <w:numId w:val="2"/>
        </w:numPr>
        <w:spacing w:after="0" w:line="276" w:lineRule="auto"/>
        <w:jc w:val="both"/>
      </w:pPr>
      <w:r>
        <w:t>El Desarrollo de habilidades de pensamiento</w:t>
      </w:r>
    </w:p>
    <w:p w14:paraId="703FEC18" w14:textId="77777777" w:rsidR="000428BB" w:rsidRDefault="00000000">
      <w:pPr>
        <w:numPr>
          <w:ilvl w:val="0"/>
          <w:numId w:val="2"/>
        </w:numPr>
        <w:spacing w:after="0" w:line="276" w:lineRule="auto"/>
        <w:jc w:val="both"/>
      </w:pPr>
      <w:r>
        <w:t>El Desarrollo de competencias comunicativas</w:t>
      </w:r>
    </w:p>
    <w:p w14:paraId="5F515538" w14:textId="77777777" w:rsidR="000428BB" w:rsidRDefault="00000000">
      <w:pPr>
        <w:numPr>
          <w:ilvl w:val="0"/>
          <w:numId w:val="2"/>
        </w:numPr>
        <w:spacing w:after="0" w:line="276" w:lineRule="auto"/>
        <w:jc w:val="both"/>
      </w:pPr>
      <w:r>
        <w:t>La Convivencia humana y ecológica</w:t>
      </w:r>
    </w:p>
    <w:p w14:paraId="4E3F32F7" w14:textId="77777777" w:rsidR="000428BB" w:rsidRDefault="00000000">
      <w:pPr>
        <w:numPr>
          <w:ilvl w:val="0"/>
          <w:numId w:val="2"/>
        </w:numPr>
        <w:spacing w:after="0" w:line="276" w:lineRule="auto"/>
        <w:jc w:val="both"/>
      </w:pPr>
      <w:r>
        <w:t>La Formación axiológica</w:t>
      </w:r>
    </w:p>
    <w:p w14:paraId="6992FD9A" w14:textId="77777777" w:rsidR="000428BB" w:rsidRDefault="00000000">
      <w:pPr>
        <w:numPr>
          <w:ilvl w:val="0"/>
          <w:numId w:val="2"/>
        </w:numPr>
        <w:spacing w:after="0" w:line="276" w:lineRule="auto"/>
        <w:jc w:val="both"/>
      </w:pPr>
      <w:r>
        <w:t>La Formación profesional</w:t>
      </w:r>
    </w:p>
    <w:p w14:paraId="4717EEE9" w14:textId="77777777" w:rsidR="000428BB" w:rsidRDefault="000428BB">
      <w:pPr>
        <w:spacing w:after="0" w:line="276" w:lineRule="auto"/>
        <w:jc w:val="both"/>
      </w:pPr>
    </w:p>
    <w:p w14:paraId="7C35450C" w14:textId="77777777" w:rsidR="000428BB" w:rsidRDefault="00000000">
      <w:pPr>
        <w:spacing w:after="0" w:line="276" w:lineRule="auto"/>
        <w:jc w:val="both"/>
      </w:pPr>
      <w:r>
        <w:t>La especificidad del programa desarrolló una dinámica de relación con la comunidad académica, que ha permitido vincular de manera efectiva a los egresados con el contexto laboral, especialmente empresarial y corporativo, al mismo tiempo que promueve la construcción de empresa a nivel micro.</w:t>
      </w:r>
    </w:p>
    <w:p w14:paraId="22A6C67C" w14:textId="77777777" w:rsidR="000428BB" w:rsidRDefault="00000000">
      <w:pPr>
        <w:spacing w:after="0" w:line="276" w:lineRule="auto"/>
        <w:jc w:val="both"/>
      </w:pPr>
      <w:r>
        <w:t>La construcción de empresas propias propicia un doble impacto social: en primera instancia de orden personal, en el que cada uno es dueño y gestor de su empresa con las consecuencias de mejoramiento de las condiciones de vida particulares; en segundo orden el mejoramiento de oferta laboral para terceros, quienes se ven beneficiados de manera directa por los egresados y de manera indirecta por la misión institucional.</w:t>
      </w:r>
    </w:p>
    <w:p w14:paraId="731956E4" w14:textId="77777777" w:rsidR="000428BB" w:rsidRDefault="000428BB">
      <w:pPr>
        <w:spacing w:after="0" w:line="276" w:lineRule="auto"/>
        <w:jc w:val="both"/>
      </w:pPr>
    </w:p>
    <w:p w14:paraId="2E274C7C" w14:textId="77777777" w:rsidR="000428BB" w:rsidRDefault="00000000">
      <w:pPr>
        <w:spacing w:after="0" w:line="276" w:lineRule="auto"/>
        <w:jc w:val="both"/>
      </w:pPr>
      <w:r>
        <w:t xml:space="preserve">El programa, además, ha asumido el costo particular y social de continuar el proceso de formación de los Tecnólogos en Diseño e implementación de automatismos mecatrónicos y automatización industrial del SENA y electrónica del SENA y la Universidad de Caldas. El programa funge como aliado estratégico de los programas de Medicina, Geología, Diseño visual, Biología y Química, al interior de la universidad, porque permite continuar o complementar el escenario formativo, lo que fortalece las competencias investigativas trabajadas a partir de la ejecución de productos, compartiendo resultados investigativos. El programa mantiene </w:t>
      </w:r>
      <w:proofErr w:type="gramStart"/>
      <w:r>
        <w:t>vínculo  con</w:t>
      </w:r>
      <w:proofErr w:type="gramEnd"/>
      <w:r>
        <w:t xml:space="preserve"> las empresas creadas por sus egresados y el sector manufacturero regional a través de convenios para acciones y desarrollos novedosos frente a las necesidades del contexto. Empresas como la Industria licorera de Caldas, Urban Green, </w:t>
      </w:r>
      <w:proofErr w:type="spellStart"/>
      <w:r>
        <w:t>Celema</w:t>
      </w:r>
      <w:proofErr w:type="spellEnd"/>
      <w:r>
        <w:t xml:space="preserve">, Cenicafé, </w:t>
      </w:r>
      <w:proofErr w:type="spellStart"/>
      <w:r>
        <w:t>Madeal</w:t>
      </w:r>
      <w:proofErr w:type="spellEnd"/>
      <w:r>
        <w:t xml:space="preserve">, La Meseta, </w:t>
      </w:r>
      <w:proofErr w:type="spellStart"/>
      <w:r>
        <w:t>Plastigoma</w:t>
      </w:r>
      <w:proofErr w:type="spellEnd"/>
      <w:r>
        <w:t xml:space="preserve">, </w:t>
      </w:r>
      <w:proofErr w:type="spellStart"/>
      <w:r>
        <w:t>Xtensor</w:t>
      </w:r>
      <w:proofErr w:type="spellEnd"/>
      <w:r>
        <w:t>, etc.</w:t>
      </w:r>
    </w:p>
    <w:p w14:paraId="34ADFB01" w14:textId="77777777" w:rsidR="000428BB" w:rsidRDefault="000428BB">
      <w:pPr>
        <w:tabs>
          <w:tab w:val="left" w:pos="6225"/>
        </w:tabs>
        <w:jc w:val="both"/>
      </w:pPr>
    </w:p>
    <w:p w14:paraId="1183138F" w14:textId="77777777" w:rsidR="000428BB" w:rsidRDefault="000428BB">
      <w:pPr>
        <w:tabs>
          <w:tab w:val="left" w:pos="6225"/>
        </w:tabs>
        <w:jc w:val="both"/>
      </w:pPr>
    </w:p>
    <w:sectPr w:rsidR="000428BB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E9391" w14:textId="77777777" w:rsidR="00091E37" w:rsidRDefault="00091E37">
      <w:pPr>
        <w:spacing w:after="0" w:line="240" w:lineRule="auto"/>
      </w:pPr>
      <w:r>
        <w:separator/>
      </w:r>
    </w:p>
  </w:endnote>
  <w:endnote w:type="continuationSeparator" w:id="0">
    <w:p w14:paraId="4CE7F31A" w14:textId="77777777" w:rsidR="00091E37" w:rsidRDefault="00091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ADD2C" w14:textId="77777777" w:rsidR="00091E37" w:rsidRDefault="00091E37">
      <w:pPr>
        <w:spacing w:after="0" w:line="240" w:lineRule="auto"/>
      </w:pPr>
      <w:r>
        <w:separator/>
      </w:r>
    </w:p>
  </w:footnote>
  <w:footnote w:type="continuationSeparator" w:id="0">
    <w:p w14:paraId="755F48E7" w14:textId="77777777" w:rsidR="00091E37" w:rsidRDefault="00091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85A4" w14:textId="77777777" w:rsidR="000428B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D55EDB4" wp14:editId="548CE230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l="0" t="0" r="0" b="0"/>
          <wp:wrapNone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431D"/>
    <w:multiLevelType w:val="multilevel"/>
    <w:tmpl w:val="C728BF7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E13D5E"/>
    <w:multiLevelType w:val="multilevel"/>
    <w:tmpl w:val="0E0AE65E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upperLetter"/>
      <w:lvlText w:val="%2)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0B7EB2"/>
    <w:multiLevelType w:val="multilevel"/>
    <w:tmpl w:val="8AAEAA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7F2228"/>
    <w:multiLevelType w:val="multilevel"/>
    <w:tmpl w:val="369EAA9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329135921">
    <w:abstractNumId w:val="3"/>
  </w:num>
  <w:num w:numId="2" w16cid:durableId="1121798685">
    <w:abstractNumId w:val="0"/>
  </w:num>
  <w:num w:numId="3" w16cid:durableId="596671238">
    <w:abstractNumId w:val="1"/>
  </w:num>
  <w:num w:numId="4" w16cid:durableId="803044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8BB"/>
    <w:rsid w:val="000428BB"/>
    <w:rsid w:val="00091E37"/>
    <w:rsid w:val="00BB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B28D9"/>
  <w15:docId w15:val="{E73B848D-3F74-4748-A936-34C9D7DF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w44knupsOJYZG6KooBEXNheHZA==">AMUW2mWeSEXZ78KPzBHkWgad08pA1xtteFbXDKnYeB1jQapa9DXozm380wFMmd2k/VIidFK23uC2EKNmah7v5WpyD1uUT/X+LBuwJ8m10XbHSe80l8SXt5Y=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680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jhonatan pineda zuluaga</cp:lastModifiedBy>
  <cp:revision>2</cp:revision>
  <dcterms:created xsi:type="dcterms:W3CDTF">2021-05-26T02:49:00Z</dcterms:created>
  <dcterms:modified xsi:type="dcterms:W3CDTF">2022-08-23T17:09:00Z</dcterms:modified>
</cp:coreProperties>
</file>