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PROCESO DE RENOVACIÓN DE REGISTRO CALIFICADO</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ANEXO 5.</w:t>
      </w:r>
      <w:r w:rsidDel="00000000" w:rsidR="00000000" w:rsidRPr="00000000">
        <w:rPr>
          <w:b w:val="1"/>
          <w:rtl w:val="0"/>
        </w:rPr>
        <w:t xml:space="preserve">2.5</w:t>
      </w:r>
      <w:r w:rsidDel="00000000" w:rsidR="00000000" w:rsidRPr="00000000">
        <w:rPr>
          <w:rtl w:val="0"/>
        </w:rPr>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Un documento con las evidencias e indicadores en coherencia con el nivel de formación, la (a) modalidad (es), el (los) lugar (es) de desarrollo del programa, así como soportado en el sistema de aseguramiento de la calidad y en uno o varios informes de autoevaluación prevista en el literal c, numerales 2 y 3 del artículo 64 de la Resol. 21795 de 2020</w:t>
      </w:r>
    </w:p>
    <w:p w:rsidR="00000000" w:rsidDel="00000000" w:rsidP="00000000" w:rsidRDefault="00000000" w:rsidRPr="00000000" w14:paraId="00000006">
      <w:pPr>
        <w:tabs>
          <w:tab w:val="left" w:pos="6225"/>
        </w:tabs>
        <w:jc w:val="both"/>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Otra estrategia es promover algunos cursos en forma remota como módulos dentro de las actividades académicas con expertos internacionales o de la industria.</w:t>
      </w:r>
    </w:p>
    <w:p w:rsidR="00000000" w:rsidDel="00000000" w:rsidP="00000000" w:rsidRDefault="00000000" w:rsidRPr="00000000" w14:paraId="00000008">
      <w:pPr>
        <w:tabs>
          <w:tab w:val="left" w:pos="6225"/>
        </w:tabs>
        <w:jc w:val="both"/>
        <w:rPr/>
      </w:pPr>
      <w:r w:rsidDel="00000000" w:rsidR="00000000" w:rsidRPr="00000000">
        <w:rPr>
          <w:rtl w:val="0"/>
        </w:rPr>
        <w:t xml:space="preserve">En cuanto a los recursos financieros, en la proyección que se realiza en los presupuestos se considera el pago de incentivos y honorarios a los docentes fuera de su labor académica; además, de promover las pasantías a través de los proyectos de extensión y los contactos con el sector productivo que permitan contar con un flujo de efectivo cuando las cohortes cuentan con un punto de equilibrio bajo, de tal forma que, una cohorte subsidie gastos de otras cohortes. Se debe clarificar que el manejo de estos recursos se hace directamente desde la Facultad de Ciencias Exactas y Naturales a la cual se encuentra adscrita el programa.</w:t>
      </w:r>
    </w:p>
    <w:p w:rsidR="00000000" w:rsidDel="00000000" w:rsidP="00000000" w:rsidRDefault="00000000" w:rsidRPr="00000000" w14:paraId="00000009">
      <w:pPr>
        <w:tabs>
          <w:tab w:val="left" w:pos="6225"/>
        </w:tabs>
        <w:jc w:val="both"/>
        <w:rPr/>
      </w:pPr>
      <w:r w:rsidDel="00000000" w:rsidR="00000000" w:rsidRPr="00000000">
        <w:rPr>
          <w:rtl w:val="0"/>
        </w:rPr>
        <w:t xml:space="preserve">En cuanto a los recursos tecnológicos y físicos se está fomentando la adquisición de equipos e insumos a través de las convocatorias internas y externas en las que participan los investigadores que permitan fortalecer los procesos formativos de los estudiantes. Otro aspecto importante es la adjudicación de los espacios como se contempla en el plan de acción de la facultad para equipar, en la vigencia de este registro, algunos laboratorios que sirven de soporte, como lo es, el Laboratorio de Agromatica.</w:t>
      </w:r>
    </w:p>
    <w:p w:rsidR="00000000" w:rsidDel="00000000" w:rsidP="00000000" w:rsidRDefault="00000000" w:rsidRPr="00000000" w14:paraId="0000000A">
      <w:pPr>
        <w:tabs>
          <w:tab w:val="left" w:pos="6225"/>
        </w:tabs>
        <w:jc w:val="both"/>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-1080132</wp:posOffset>
          </wp:positionH>
          <wp:positionV relativeFrom="paragraph">
            <wp:posOffset>-448307</wp:posOffset>
          </wp:positionV>
          <wp:extent cx="7878426" cy="10194352"/>
          <wp:effectExtent b="0" l="0" r="0" t="0"/>
          <wp:wrapNone/>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0.0" w:type="dxa"/>
        <w:bottom w:w="0.0" w:type="dxa"/>
        <w:right w:w="0.0" w:type="dxa"/>
      </w:tblCellMar>
    </w:tblPr>
  </w:style>
  <w:style w:type="table" w:styleId="a0" w:customStyle="1">
    <w:basedOn w:val="TableNormal0"/>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qXJBE6rwMzhT+Q6ITJxNhlhZA==">AMUW2mVZbOx1PKAsU0iXWyImbQm1SLZg3vgPT2cyuoDEiWn3C5Gv3ClV+oLDAa5kMkTh/qvIX8M0Ihl5+jbMTlLZ9hfkh+YdrruveaaK/m1vjMEyhsWWZXE=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2021-05-26T02:49:00Z</dcterms:created>
  <dc:creator>Usuario</dc:creator>
</cp:coreProperties>
</file>