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C3838" w14:textId="77777777" w:rsidR="00FD08F1" w:rsidRDefault="00FD08F1"/>
    <w:p w14:paraId="33D5719E" w14:textId="77777777" w:rsidR="00FD08F1" w:rsidRDefault="00C3447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</w:rPr>
      </w:pPr>
      <w:r>
        <w:rPr>
          <w:b/>
          <w:color w:val="000000"/>
        </w:rPr>
        <w:t>PROCESO DE RENOVACIÓN DE REGISTRO CALIFICADO</w:t>
      </w:r>
    </w:p>
    <w:p w14:paraId="4C8FD7C2" w14:textId="77777777" w:rsidR="000C3170" w:rsidRDefault="000C317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>INGENIERÍA MECATRÓNICA</w:t>
      </w:r>
    </w:p>
    <w:p w14:paraId="7A3F5021" w14:textId="299ECF9F" w:rsidR="00FD08F1" w:rsidRDefault="00C3447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</w:rPr>
      </w:pPr>
      <w:r>
        <w:rPr>
          <w:b/>
          <w:color w:val="000000"/>
        </w:rPr>
        <w:t>ANEXO 7.4.1</w:t>
      </w:r>
    </w:p>
    <w:p w14:paraId="69F1FF91" w14:textId="77777777" w:rsidR="00FD08F1" w:rsidRDefault="00C34470">
      <w:pPr>
        <w:tabs>
          <w:tab w:val="left" w:pos="6225"/>
        </w:tabs>
        <w:jc w:val="center"/>
        <w:rPr>
          <w:b/>
        </w:rPr>
      </w:pPr>
      <w:r>
        <w:rPr>
          <w:b/>
        </w:rPr>
        <w:t>Descripción de las estrategias y acciones actualizadas que promueven la permanencia de los profesores, teniendo en cuenta la dinámica de la nueva vigencia del registro calificado del programa académico, y justificación de la incorporación o no de modificac</w:t>
      </w:r>
      <w:r>
        <w:rPr>
          <w:b/>
        </w:rPr>
        <w:t>iones respecto de las estrategias y acciones previstas en los últimos siete (7) años</w:t>
      </w:r>
    </w:p>
    <w:p w14:paraId="03E64801" w14:textId="77777777" w:rsidR="00FD08F1" w:rsidRDefault="00FD08F1">
      <w:pPr>
        <w:tabs>
          <w:tab w:val="left" w:pos="6225"/>
        </w:tabs>
        <w:jc w:val="center"/>
        <w:rPr>
          <w:b/>
        </w:rPr>
      </w:pPr>
    </w:p>
    <w:p w14:paraId="3464F82D" w14:textId="71B5C8BF" w:rsidR="00FD08F1" w:rsidRDefault="00C34470">
      <w:pPr>
        <w:tabs>
          <w:tab w:val="left" w:pos="6225"/>
        </w:tabs>
        <w:jc w:val="both"/>
      </w:pPr>
      <w:r>
        <w:t xml:space="preserve">La selección de profesores vinculados para el </w:t>
      </w:r>
      <w:r w:rsidR="002B6E04">
        <w:t>pregrado</w:t>
      </w:r>
      <w:r>
        <w:t xml:space="preserve"> de la </w:t>
      </w:r>
      <w:r w:rsidR="002B6E04">
        <w:t>Ingeniería Mecatrónica</w:t>
      </w:r>
      <w:r>
        <w:t xml:space="preserve"> cumple con las normas determinadas por la Universidad de Caldas, dado que la mayoría de l</w:t>
      </w:r>
      <w:r>
        <w:t>os docentes que cuenta el programa pertenecen a</w:t>
      </w:r>
      <w:r w:rsidR="002B6E04">
        <w:t xml:space="preserve"> los departamentos</w:t>
      </w:r>
      <w:r>
        <w:t xml:space="preserve"> de </w:t>
      </w:r>
      <w:r w:rsidR="002B6E04">
        <w:t>Física, Química, Sistemas</w:t>
      </w:r>
      <w:r w:rsidR="00232FBF">
        <w:t>,</w:t>
      </w:r>
      <w:r w:rsidR="002B6E04">
        <w:t xml:space="preserve"> Matemáticas</w:t>
      </w:r>
      <w:r w:rsidR="00232FBF">
        <w:t>, Estudios educativos, Lingüística y literatura, Economía y administración, Ciencias biológicas y Lenguas extranjeras</w:t>
      </w:r>
      <w:r>
        <w:t>; el Concurso Público de Méritos se realiza mediante procedimientos definidos por el departamento, el Consejo de Facultad y la Vicerrectoría Académica.</w:t>
      </w:r>
      <w:r>
        <w:t xml:space="preserve"> En el caso de la contratación de profesores de cátedra, se cuenta con un banco de hojas de vida que se </w:t>
      </w:r>
      <w:r>
        <w:t>administra desde la oficina de personal.</w:t>
      </w:r>
    </w:p>
    <w:p w14:paraId="20919776" w14:textId="77777777" w:rsidR="00FD08F1" w:rsidRDefault="00C34470">
      <w:pPr>
        <w:tabs>
          <w:tab w:val="left" w:pos="6225"/>
        </w:tabs>
        <w:jc w:val="both"/>
      </w:pPr>
      <w:r>
        <w:t>En cuanto a las estrategias institucionales para propiciar la permanencia de los profesores en el programa y el relevo generacional, mediante los estímulos académicos, el tipo de contratación a término indefinido pa</w:t>
      </w:r>
      <w:r>
        <w:t xml:space="preserve">ra los profesores de planta que brinda estabilidad y la cultura organizacional de la libertad de cátedra, la Universidad propicia y exalta la excelencia académica de los profesores. </w:t>
      </w:r>
    </w:p>
    <w:p w14:paraId="0C6C5DCA" w14:textId="77777777" w:rsidR="00FD08F1" w:rsidRDefault="00C34470">
      <w:pPr>
        <w:tabs>
          <w:tab w:val="left" w:pos="6225"/>
        </w:tabs>
        <w:jc w:val="both"/>
      </w:pPr>
      <w:r>
        <w:t>Los estímulos académicos serán: la capacitación institucional, el año sab</w:t>
      </w:r>
      <w:r>
        <w:t>ático, las distinciones, el ascenso en el escalafón docente, los reconocimientos en la hoja de vida, las comisiones de estudios, los puntos por trabajo académico y experiencia calificada y la asignación de recursos para el desarrollo de proyectos específic</w:t>
      </w:r>
      <w:r>
        <w:t>os.</w:t>
      </w:r>
    </w:p>
    <w:p w14:paraId="3456D2A5" w14:textId="2DBC3DF6" w:rsidR="00FD08F1" w:rsidRDefault="00C34470">
      <w:pPr>
        <w:tabs>
          <w:tab w:val="left" w:pos="6225"/>
        </w:tabs>
        <w:jc w:val="both"/>
      </w:pPr>
      <w:r>
        <w:t xml:space="preserve">La Universidad de Caldas cuenta con un mecanismo de divulgación del estatuto profesoral que garantiza que cada docente que ingrese a la </w:t>
      </w:r>
      <w:r w:rsidR="002B6E04">
        <w:t>Universidad en</w:t>
      </w:r>
      <w:r>
        <w:t xml:space="preserve"> la condición vinculante lo conozca de manera detallada. Además, cada profesor cuenta con un usuario </w:t>
      </w:r>
      <w:r>
        <w:t>para el manejo de plataforma; allí puede acceder al estatuto y conocerlo de manera completa.</w:t>
      </w:r>
    </w:p>
    <w:p w14:paraId="01DBC9A1" w14:textId="77777777" w:rsidR="00FD08F1" w:rsidRDefault="00C34470">
      <w:pPr>
        <w:tabs>
          <w:tab w:val="left" w:pos="6225"/>
        </w:tabs>
        <w:jc w:val="both"/>
      </w:pPr>
      <w:r>
        <w:rPr>
          <w:noProof/>
        </w:rPr>
        <w:lastRenderedPageBreak/>
        <w:drawing>
          <wp:inline distT="0" distB="0" distL="0" distR="0" wp14:anchorId="59D3A8C7" wp14:editId="27FEC3DE">
            <wp:extent cx="5520580" cy="2952433"/>
            <wp:effectExtent l="0" t="0" r="0" b="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20580" cy="295243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3ACF2DD" wp14:editId="4CEDF29C">
            <wp:extent cx="5704523" cy="3609975"/>
            <wp:effectExtent l="0" t="0" r="0" b="0"/>
            <wp:docPr id="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04523" cy="3609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7D2D61D" w14:textId="77777777" w:rsidR="00FD08F1" w:rsidRDefault="00C3447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t>La vinculación de docentes de planta se efectúa mediante concurso público de méritos en cumplimiento de lo legislado para las instituciones públicas y las norma</w:t>
      </w:r>
      <w:r>
        <w:rPr>
          <w:color w:val="000000"/>
        </w:rPr>
        <w:t xml:space="preserve">s internas de la Universidad a saber: </w:t>
      </w:r>
    </w:p>
    <w:p w14:paraId="1E6D1252" w14:textId="77777777" w:rsidR="00FD08F1" w:rsidRDefault="00FD08F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</w:p>
    <w:p w14:paraId="5964A0F7" w14:textId="77777777" w:rsidR="00FD08F1" w:rsidRDefault="00C34470">
      <w:pPr>
        <w:pBdr>
          <w:top w:val="nil"/>
          <w:left w:val="nil"/>
          <w:bottom w:val="nil"/>
          <w:right w:val="nil"/>
          <w:between w:val="nil"/>
        </w:pBdr>
        <w:spacing w:after="33" w:line="240" w:lineRule="auto"/>
        <w:jc w:val="both"/>
        <w:rPr>
          <w:color w:val="000000"/>
        </w:rPr>
      </w:pPr>
      <w:r>
        <w:rPr>
          <w:color w:val="000000"/>
        </w:rPr>
        <w:t xml:space="preserve">Acuerdo 021 del 2.002 del Consejo Superior. Por el cual se adopta el Estatuto del Personal Docente de la Universidad de Caldas </w:t>
      </w:r>
    </w:p>
    <w:p w14:paraId="04800105" w14:textId="77777777" w:rsidR="00FD08F1" w:rsidRDefault="00C3447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t>Acuerdo 026 del 2.008 del Consejo Académico. Por el cual se definen ponderaciones y criterios de los componentes de los factores</w:t>
      </w:r>
      <w:r>
        <w:rPr>
          <w:color w:val="000000"/>
        </w:rPr>
        <w:t xml:space="preserve"> de evaluación en el Concurso Público de Méritos de Relevo Generacional y posterior Ingreso a Carrera</w:t>
      </w:r>
    </w:p>
    <w:p w14:paraId="3DB3D5C3" w14:textId="77777777" w:rsidR="00FD08F1" w:rsidRDefault="00C3447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 wp14:anchorId="5F811AEB" wp14:editId="76F297D0">
            <wp:extent cx="5612130" cy="1842770"/>
            <wp:effectExtent l="0" t="0" r="0" b="0"/>
            <wp:docPr id="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427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</w:t>
      </w:r>
    </w:p>
    <w:p w14:paraId="371C757A" w14:textId="77777777" w:rsidR="00FD08F1" w:rsidRDefault="00C34470">
      <w:pPr>
        <w:tabs>
          <w:tab w:val="left" w:pos="6225"/>
        </w:tabs>
        <w:jc w:val="both"/>
      </w:pPr>
      <w:r>
        <w:t xml:space="preserve"> </w:t>
      </w:r>
    </w:p>
    <w:sectPr w:rsidR="00FD08F1">
      <w:headerReference w:type="default" r:id="rId10"/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F6BA5C" w14:textId="77777777" w:rsidR="00C34470" w:rsidRDefault="00C34470">
      <w:pPr>
        <w:spacing w:after="0" w:line="240" w:lineRule="auto"/>
      </w:pPr>
      <w:r>
        <w:separator/>
      </w:r>
    </w:p>
  </w:endnote>
  <w:endnote w:type="continuationSeparator" w:id="0">
    <w:p w14:paraId="439F0F73" w14:textId="77777777" w:rsidR="00C34470" w:rsidRDefault="00C344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3A4057" w14:textId="77777777" w:rsidR="00C34470" w:rsidRDefault="00C34470">
      <w:pPr>
        <w:spacing w:after="0" w:line="240" w:lineRule="auto"/>
      </w:pPr>
      <w:r>
        <w:separator/>
      </w:r>
    </w:p>
  </w:footnote>
  <w:footnote w:type="continuationSeparator" w:id="0">
    <w:p w14:paraId="654AF412" w14:textId="77777777" w:rsidR="00C34470" w:rsidRDefault="00C344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076A1C" w14:textId="77777777" w:rsidR="00FD08F1" w:rsidRDefault="00C3447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0" distR="0" simplePos="0" relativeHeight="251658240" behindDoc="1" locked="0" layoutInCell="1" hidden="0" allowOverlap="1" wp14:anchorId="0BADE27C" wp14:editId="28D65CE8">
          <wp:simplePos x="0" y="0"/>
          <wp:positionH relativeFrom="column">
            <wp:posOffset>-1080134</wp:posOffset>
          </wp:positionH>
          <wp:positionV relativeFrom="paragraph">
            <wp:posOffset>-448309</wp:posOffset>
          </wp:positionV>
          <wp:extent cx="7878426" cy="10194352"/>
          <wp:effectExtent l="0" t="0" r="0" b="0"/>
          <wp:wrapNone/>
          <wp:docPr id="6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878426" cy="1019435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08F1"/>
    <w:rsid w:val="000C3170"/>
    <w:rsid w:val="00232FBF"/>
    <w:rsid w:val="002B6E04"/>
    <w:rsid w:val="00C34470"/>
    <w:rsid w:val="00FD0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3DD048"/>
  <w15:docId w15:val="{6D582DAE-FF43-4910-B7F6-A7F14B74C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9C0A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0A9C"/>
  </w:style>
  <w:style w:type="paragraph" w:styleId="Footer">
    <w:name w:val="footer"/>
    <w:basedOn w:val="Normal"/>
    <w:link w:val="FooterChar"/>
    <w:uiPriority w:val="99"/>
    <w:unhideWhenUsed/>
    <w:rsid w:val="009C0A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0A9C"/>
  </w:style>
  <w:style w:type="paragraph" w:styleId="NoSpacing">
    <w:name w:val="No Spacing"/>
    <w:uiPriority w:val="1"/>
    <w:qFormat/>
    <w:rsid w:val="009C0A9C"/>
    <w:pPr>
      <w:spacing w:after="0" w:line="240" w:lineRule="auto"/>
    </w:pPr>
  </w:style>
  <w:style w:type="table" w:styleId="TableGrid">
    <w:name w:val="Table Grid"/>
    <w:basedOn w:val="TableNormal"/>
    <w:uiPriority w:val="59"/>
    <w:rsid w:val="0062189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Default">
    <w:name w:val="Default"/>
    <w:rsid w:val="00E8142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Ly+az5yfcYINkoP1ixumMy/TsQ==">AMUW2mV3FumBNseQiA1Myl6UH3tQsJXmoNaq/hHvq8qF8aMRmBfvR3VfSLUtnWB0tJF5KhBGGxZwzD3Fwa4fBZHJ1Se68TtVTuumMPv7XE0y/nFLvSnVEvo=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424</Words>
  <Characters>2333</Characters>
  <Application>Microsoft Office Word</Application>
  <DocSecurity>0</DocSecurity>
  <Lines>19</Lines>
  <Paragraphs>5</Paragraphs>
  <ScaleCrop>false</ScaleCrop>
  <Company/>
  <LinksUpToDate>false</LinksUpToDate>
  <CharactersWithSpaces>2752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Daniel</cp:lastModifiedBy>
  <cp:revision>4</cp:revision>
  <dcterms:created xsi:type="dcterms:W3CDTF">2021-06-09T19:15:00Z</dcterms:created>
  <dcterms:modified xsi:type="dcterms:W3CDTF">2022-08-10T23:57:00Z</dcterms:modified>
</cp:coreProperties>
</file>