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BF3E" w14:textId="77777777" w:rsidR="00BF241C" w:rsidRDefault="00BF241C"/>
    <w:p w14:paraId="4899A675" w14:textId="77777777" w:rsidR="00BF241C" w:rsidRDefault="00161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3B553609" w14:textId="77777777" w:rsidR="00DC172F" w:rsidRDefault="00DC172F" w:rsidP="00DC17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INGENIERÍA MECATRÓNICA</w:t>
      </w:r>
    </w:p>
    <w:p w14:paraId="42DDE643" w14:textId="77777777" w:rsidR="00BF241C" w:rsidRDefault="00161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7.4.3</w:t>
      </w:r>
    </w:p>
    <w:p w14:paraId="55D76058" w14:textId="77777777" w:rsidR="00BF241C" w:rsidRDefault="0016162D">
      <w:pPr>
        <w:tabs>
          <w:tab w:val="left" w:pos="6225"/>
        </w:tabs>
        <w:jc w:val="center"/>
        <w:rPr>
          <w:b/>
        </w:rPr>
      </w:pPr>
      <w:r>
        <w:rPr>
          <w:b/>
        </w:rPr>
        <w:t>Descripción de la ejecución y resultados del plan de desarrollo y capacitación de los profesores, de acuerdo con el tipo de vinculación y dedicación, en los últimos siete (7) años, comparado con el plan que se tenía para el mismo periodo, con la justificac</w:t>
      </w:r>
      <w:r>
        <w:rPr>
          <w:b/>
        </w:rPr>
        <w:t>ión en las diferencias significativas</w:t>
      </w:r>
    </w:p>
    <w:p w14:paraId="4297FF2A" w14:textId="77777777" w:rsidR="00BF241C" w:rsidRDefault="00BF241C">
      <w:pPr>
        <w:spacing w:after="0"/>
        <w:jc w:val="both"/>
      </w:pPr>
    </w:p>
    <w:p w14:paraId="5C24B703" w14:textId="3FEB4E0F" w:rsidR="00BF241C" w:rsidRDefault="0016162D">
      <w:pPr>
        <w:tabs>
          <w:tab w:val="left" w:pos="6225"/>
        </w:tabs>
        <w:jc w:val="both"/>
      </w:pPr>
      <w:r>
        <w:t xml:space="preserve">En los procesos de ejecución y plan desarrollo del Departamento </w:t>
      </w:r>
      <w:r w:rsidR="00DC172F">
        <w:t>Ciencias exactas y naturales</w:t>
      </w:r>
      <w:r>
        <w:t xml:space="preserve"> y el programa </w:t>
      </w:r>
      <w:r w:rsidR="00DC172F">
        <w:t>ingeniería Mecatrónica</w:t>
      </w:r>
      <w:r>
        <w:t xml:space="preserve">, dado su alta relación de estos organismos, existe el proceso de evaluación que se realiza en la Universidad que está </w:t>
      </w:r>
      <w:r>
        <w:t>debidamente estipulado en el estatuto docente (Acuerdo 021 de 2002 del Consejo Superior). Tanto para docentes de planta, ocasionales de tiempo completo y de cátedra está estipulada la manera como debe evaluarse el desempeño y así poder contar con su perman</w:t>
      </w:r>
      <w:r>
        <w:t>encia en departamento y en el programa.</w:t>
      </w:r>
    </w:p>
    <w:p w14:paraId="078DD63E" w14:textId="44A39DF5" w:rsidR="00BF241C" w:rsidRDefault="0016162D">
      <w:pPr>
        <w:tabs>
          <w:tab w:val="left" w:pos="6225"/>
        </w:tabs>
        <w:jc w:val="both"/>
      </w:pPr>
      <w:r>
        <w:t xml:space="preserve">El programa cumple con esta reglamentación </w:t>
      </w:r>
      <w:r w:rsidR="00DC172F">
        <w:t>y trabaja</w:t>
      </w:r>
      <w:r>
        <w:t xml:space="preserve"> acorde a lo señalado por la norma. Así mismo, se plantea un proceso de evaluación más detallado que permita establecer mejoras en el proceso formativo (la univers</w:t>
      </w:r>
      <w:r>
        <w:t>idad pronto expedirá un nuevo reglamento de evaluación). Al respecto vale la pena señalar que existen comisiones conformadas para llevar a cabo estos procesos de evaluación.</w:t>
      </w:r>
    </w:p>
    <w:p w14:paraId="6760CE6E" w14:textId="77777777" w:rsidR="00BF241C" w:rsidRDefault="0016162D">
      <w:pPr>
        <w:tabs>
          <w:tab w:val="left" w:pos="6225"/>
        </w:tabs>
        <w:jc w:val="both"/>
      </w:pPr>
      <w:r>
        <w:t>Al mismo tiempo, es posible prever una tendencia al crecimiento sostenido de los a</w:t>
      </w:r>
      <w:r>
        <w:t>spirantes y una diversificación de los sectores que demandan el acceso a la formación de posgrado. Ello configura un desafío importante a la comunidad universitaria en relación con la continuidad y profundización de los programas de inclusión y permanencia</w:t>
      </w:r>
      <w:r>
        <w:t xml:space="preserve"> de los estudiantes en sus estudios, así como a la mejora de las condiciones y resultados en los que se desarrollan sus trayectorias de Investigación.</w:t>
      </w:r>
    </w:p>
    <w:p w14:paraId="07DC3DDD" w14:textId="2C438B0E" w:rsidR="00BF241C" w:rsidRDefault="0016162D">
      <w:pPr>
        <w:tabs>
          <w:tab w:val="left" w:pos="6225"/>
        </w:tabs>
        <w:jc w:val="both"/>
      </w:pPr>
      <w:r>
        <w:t>En el futuro, la relevancia de los modelos de producción tecnológica y científica en los condicionantes d</w:t>
      </w:r>
      <w:r>
        <w:t xml:space="preserve">el desarrollo nacional, y las transformaciones de los campos de desempeño profesional consecuentes, entre otras dimensiones, definirán demandas y desafíos a los niveles de enseñanza -aprendizaje en el </w:t>
      </w:r>
      <w:r w:rsidR="00DC172F">
        <w:t>pregrado</w:t>
      </w:r>
      <w:r>
        <w:t>, que orientarán nuevos perfiles de formación p</w:t>
      </w:r>
      <w:r>
        <w:t>rofesional, científica, investigativa y social.</w:t>
      </w:r>
    </w:p>
    <w:sectPr w:rsidR="00BF241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B776" w14:textId="77777777" w:rsidR="0016162D" w:rsidRDefault="0016162D">
      <w:pPr>
        <w:spacing w:after="0" w:line="240" w:lineRule="auto"/>
      </w:pPr>
      <w:r>
        <w:separator/>
      </w:r>
    </w:p>
  </w:endnote>
  <w:endnote w:type="continuationSeparator" w:id="0">
    <w:p w14:paraId="155211AF" w14:textId="77777777" w:rsidR="0016162D" w:rsidRDefault="0016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E212" w14:textId="77777777" w:rsidR="0016162D" w:rsidRDefault="0016162D">
      <w:pPr>
        <w:spacing w:after="0" w:line="240" w:lineRule="auto"/>
      </w:pPr>
      <w:r>
        <w:separator/>
      </w:r>
    </w:p>
  </w:footnote>
  <w:footnote w:type="continuationSeparator" w:id="0">
    <w:p w14:paraId="61D4C927" w14:textId="77777777" w:rsidR="0016162D" w:rsidRDefault="0016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3E8C" w14:textId="77777777" w:rsidR="00BF241C" w:rsidRDefault="001616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C2BF39F" wp14:editId="2D2DEFE2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1C"/>
    <w:rsid w:val="0016162D"/>
    <w:rsid w:val="00BF241C"/>
    <w:rsid w:val="00D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3CAE"/>
  <w15:docId w15:val="{6D582DAE-FF43-4910-B7F6-A7F14B7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IrkDnh6RK26wTHwxQy9gFAj4A==">AMUW2mVXs7s3a9bQlcF+N/jvTY5PAONvrHdtL5YtazZ6UKkNvQqLzr2XisBlWdzVTLKFqsMX0F/UUixeh/W09BjMmt5JJFZZmGf+pJtoQ2ndP7+lQ66RdCc=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2</cp:revision>
  <dcterms:created xsi:type="dcterms:W3CDTF">2021-06-09T19:21:00Z</dcterms:created>
  <dcterms:modified xsi:type="dcterms:W3CDTF">2022-08-11T00:02:00Z</dcterms:modified>
</cp:coreProperties>
</file>