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DE RENOVACIÓN DE REGISTRO CALIFICADO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INGENIERÍA MECATRÓNICA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 8.3.2</w:t>
      </w:r>
    </w:p>
    <w:p w:rsidR="00000000" w:rsidDel="00000000" w:rsidP="00000000" w:rsidRDefault="00000000" w:rsidRPr="00000000" w14:paraId="00000005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de las estrategias para garantizar que los medios educativos atienden las barreras de acceso y las particularidades de las personas que requieran de ajustes razonables, de acuerdo con la normatividad vigente.</w:t>
      </w:r>
    </w:p>
    <w:p w:rsidR="00000000" w:rsidDel="00000000" w:rsidP="00000000" w:rsidRDefault="00000000" w:rsidRPr="00000000" w14:paraId="00000006">
      <w:pPr>
        <w:tabs>
          <w:tab w:val="left" w:pos="6225"/>
        </w:tabs>
        <w:jc w:val="both"/>
        <w:rPr>
          <w:shd w:fill="dd7e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A continuación se presentan los resultados hasta el momento obtenidos por la Universidad en la implementación de diversas alternativas para superar las barreras de acceso de los estudiantes: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 académicas que integren procesos de enseñanza aprendizaje en modalidad virtual. Actualmente se tienen 42 programas con alguna mediación virtual.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Espacios físicos de los diferentes campus adecuados para el acceso de personas con capacidades diferentes. 30% de espacios físicos de los diferentes campus adecuados para el acceso de personas con capacidades diferentes. De 11 edificios: 3 cuentan con baño y acceso para personas en condición de discapacidad, 2 más cuentan con baño pero sin acceso para personas en condición de discapacidad, y los 6 restantes no cuentan con baño ni acceso para personas en condición de discapacidad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Adecuación o mantenimiento que permitan mejorar las condiciones de habitabilidad. Actualmente 1.800 m2 con mantenimiento anual.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Nuevas construcciones que permitan mejorar las condiciones de habitabilidad y accesibilidad para la comunidad universitaria y relación con el contexto. 98.000 m2 construidos.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Procesos de gestión administrativa, académica, investigativa y de proyección en línea integrados. Sistemas de información en línea: Sistema de Información Académico, de Nómina, financiero y contratación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Usuarios (dispositivos) con cobertura en acceso y conectividad a la red institucional, a través de la modernización de la infraestructura tecnológica. 2.390 usuarios (dispositivos) 1950 (Salmona).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-1080133</wp:posOffset>
          </wp:positionH>
          <wp:positionV relativeFrom="paragraph">
            <wp:posOffset>-448308</wp:posOffset>
          </wp:positionV>
          <wp:extent cx="7878426" cy="10194352"/>
          <wp:effectExtent b="0" l="0" r="0" t="0"/>
          <wp:wrapNone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 w:val="1"/>
    <w:rsid w:val="009C0A9C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62189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CO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27053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FtFukp/mgoXrL/PeVRccxkTVTw==">AMUW2mV4A+6fNwVJvaEcZEZ7TouR5j/ItOBCkeJm4EtfLqCp8mYYiM9/uw8c/akOFSFeu/aCOliAAZpZ80bGH8/91+OVBmnf7DIXIzSEzIYPYkHrDwphcwg=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2021-06-09T19:58:00Z</dcterms:created>
  <dc:creator>Usuario</dc:creator>
</cp:coreProperties>
</file>