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741A" w14:textId="77777777" w:rsidR="00D667E8" w:rsidRDefault="00D667E8" w:rsidP="00D667E8">
      <w:pPr>
        <w:jc w:val="center"/>
        <w:rPr>
          <w:rFonts w:ascii="Calibri" w:eastAsia="Calibri" w:hAnsi="Calibri" w:cs="Calibri"/>
          <w:b/>
          <w:i/>
          <w:color w:val="000000"/>
          <w:sz w:val="24"/>
          <w:szCs w:val="24"/>
        </w:rPr>
      </w:pPr>
      <w:r>
        <w:rPr>
          <w:rFonts w:ascii="Calibri" w:eastAsia="Calibri" w:hAnsi="Calibri" w:cs="Calibri"/>
          <w:b/>
          <w:i/>
          <w:color w:val="000000"/>
          <w:sz w:val="24"/>
          <w:szCs w:val="24"/>
        </w:rPr>
        <w:t>ORGANIZACIÓN DE ACTIVIDADES ACADÉMICAS Y PROCESO FORMATIVO:</w:t>
      </w:r>
    </w:p>
    <w:p w14:paraId="7293A427" w14:textId="77777777" w:rsidR="00E524A1" w:rsidRDefault="00E524A1" w:rsidP="00D667E8">
      <w:pPr>
        <w:jc w:val="center"/>
        <w:rPr>
          <w:rFonts w:ascii="Calibri" w:eastAsia="Calibri" w:hAnsi="Calibri" w:cs="Calibri"/>
          <w:color w:val="000000"/>
          <w:sz w:val="24"/>
          <w:szCs w:val="24"/>
        </w:rPr>
      </w:pPr>
    </w:p>
    <w:p w14:paraId="521C9DB8" w14:textId="77777777" w:rsidR="00E524A1" w:rsidRDefault="00E524A1" w:rsidP="00E524A1">
      <w:pPr>
        <w:ind w:hanging="2"/>
        <w:jc w:val="both"/>
        <w:rPr>
          <w:rFonts w:ascii="Calibri" w:eastAsia="Calibri" w:hAnsi="Calibri" w:cs="Calibri"/>
          <w:color w:val="000000"/>
          <w:sz w:val="22"/>
          <w:szCs w:val="22"/>
        </w:rPr>
      </w:pPr>
      <w:r>
        <w:rPr>
          <w:rFonts w:ascii="Calibri" w:eastAsia="Calibri" w:hAnsi="Calibri" w:cs="Calibri"/>
          <w:b/>
          <w:color w:val="000000"/>
          <w:sz w:val="22"/>
          <w:szCs w:val="22"/>
        </w:rPr>
        <w:t>4.1.</w:t>
      </w:r>
      <w:r>
        <w:rPr>
          <w:rFonts w:ascii="Calibri" w:eastAsia="Calibri" w:hAnsi="Calibri" w:cs="Calibri"/>
          <w:b/>
          <w:color w:val="000000"/>
          <w:sz w:val="24"/>
          <w:szCs w:val="24"/>
        </w:rPr>
        <w:t xml:space="preserve"> </w:t>
      </w:r>
      <w:r>
        <w:rPr>
          <w:rFonts w:ascii="Calibri" w:eastAsia="Calibri" w:hAnsi="Calibri" w:cs="Calibri"/>
          <w:b/>
          <w:color w:val="000000"/>
          <w:sz w:val="22"/>
          <w:szCs w:val="22"/>
        </w:rPr>
        <w:t>Seguimiento a las actividades académicas.</w:t>
      </w:r>
    </w:p>
    <w:p w14:paraId="0DBFCF22" w14:textId="77777777" w:rsidR="00D667E8" w:rsidRDefault="00D667E8" w:rsidP="00D667E8">
      <w:pPr>
        <w:ind w:hanging="2"/>
        <w:rPr>
          <w:rFonts w:ascii="Calibri" w:eastAsia="Calibri" w:hAnsi="Calibri" w:cs="Calibri"/>
          <w:color w:val="000000"/>
          <w:sz w:val="24"/>
          <w:szCs w:val="24"/>
        </w:rPr>
      </w:pPr>
    </w:p>
    <w:p w14:paraId="6BDE28D4"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adopta un enfoque pedagógico en el cual el docente desempeña el papel de facilitador de situaciones relevantes para los estudiantes. El objetivo es lograr que los estudiantes se involucren de manera motivada y comprometida con problemáticas específicas, de manera que las hagan propias y se movilicen para desarrollar acciones concretas para resolverlas. En este sentido, el rol del docente se amplía para convertirse en facilitador y mediador entre las experiencias de los estudiantes, sus motivaciones y el sistema de conocimientos, habilidades y valores que deben adquirir para encontrar soluciones.</w:t>
      </w:r>
    </w:p>
    <w:p w14:paraId="44D13996" w14:textId="77777777" w:rsidR="00FB51AC" w:rsidRDefault="00FB51AC" w:rsidP="00FB51AC">
      <w:pPr>
        <w:ind w:hanging="2"/>
        <w:jc w:val="both"/>
        <w:rPr>
          <w:rFonts w:ascii="Calibri" w:eastAsia="Calibri" w:hAnsi="Calibri" w:cs="Calibri"/>
          <w:color w:val="000000"/>
          <w:sz w:val="22"/>
          <w:szCs w:val="22"/>
        </w:rPr>
      </w:pPr>
    </w:p>
    <w:p w14:paraId="299B10FA"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el proceso de aprendizaje de los contenidos relacionados con los </w:t>
      </w:r>
      <w:r>
        <w:rPr>
          <w:rFonts w:ascii="Calibri" w:eastAsia="Calibri" w:hAnsi="Calibri" w:cs="Calibri"/>
          <w:sz w:val="22"/>
          <w:szCs w:val="22"/>
        </w:rPr>
        <w:t>sistemas de energía</w:t>
      </w:r>
      <w:r>
        <w:rPr>
          <w:rFonts w:ascii="Calibri" w:eastAsia="Calibri" w:hAnsi="Calibri" w:cs="Calibri"/>
          <w:color w:val="000000"/>
          <w:sz w:val="22"/>
          <w:szCs w:val="22"/>
        </w:rPr>
        <w:t xml:space="preserve"> renovables, se establecen conexiones multidisciplinarias con otras áreas como matemáticas, física, química, lenguaje e informática. Esto representa el primer nivel de relaciones interdisciplinarias, que sienta las bases para el segundo nivel de relaciones interdisciplinarias que se enfoca en el perfil del tecnólogo. En esta etapa, se consolida el uso de los contenidos para abordar las necesidades socioculturales y profesionales de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con el fin de utilizar eficientemente los conocimientos científicos en la solución de problemas socio-profesionales aplicables a los procesos productivos o de servicios en los que participarán posteriormente.</w:t>
      </w:r>
    </w:p>
    <w:p w14:paraId="3CE7065C" w14:textId="77777777" w:rsidR="00FB51AC" w:rsidRDefault="00FB51AC" w:rsidP="00FB51AC">
      <w:pPr>
        <w:ind w:hanging="2"/>
        <w:jc w:val="both"/>
        <w:rPr>
          <w:rFonts w:ascii="Calibri" w:eastAsia="Calibri" w:hAnsi="Calibri" w:cs="Calibri"/>
          <w:color w:val="000000"/>
          <w:sz w:val="22"/>
          <w:szCs w:val="22"/>
        </w:rPr>
      </w:pPr>
    </w:p>
    <w:p w14:paraId="05EBD277"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interdisciplinariedad se manifiesta desde el objeto de estudio y la profesión, fortaleciéndose como un hilo conductor y eje central de la formación. Este enfoque implica que todos los elementos del currículo se integren de manera coherente y significativa, de modo que sean comprendidos por los miembros de la comunidad académica y tengan utilidad en su vida social. En este sentido, se busca que la formación 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sea vista como un entramado en el cual todos los elementos adquieren sentido y valor para los estudiantes.</w:t>
      </w:r>
    </w:p>
    <w:p w14:paraId="42F5C6F1" w14:textId="77777777" w:rsidR="00FB51AC" w:rsidRDefault="00FB51AC" w:rsidP="00FB51AC">
      <w:pPr>
        <w:ind w:hanging="2"/>
        <w:jc w:val="both"/>
        <w:rPr>
          <w:rFonts w:ascii="Calibri" w:eastAsia="Calibri" w:hAnsi="Calibri" w:cs="Calibri"/>
          <w:color w:val="000000"/>
          <w:sz w:val="24"/>
          <w:szCs w:val="24"/>
        </w:rPr>
      </w:pPr>
    </w:p>
    <w:p w14:paraId="69DDEFBA" w14:textId="77777777" w:rsidR="00FB51AC" w:rsidRDefault="00FB51AC" w:rsidP="00FB51AC">
      <w:pPr>
        <w:jc w:val="both"/>
        <w:rPr>
          <w:rFonts w:ascii="Calibri" w:eastAsia="Calibri" w:hAnsi="Calibri" w:cs="Calibri"/>
          <w:color w:val="000000"/>
          <w:sz w:val="22"/>
          <w:szCs w:val="22"/>
        </w:rPr>
      </w:pPr>
      <w:r>
        <w:rPr>
          <w:rFonts w:ascii="Calibri" w:eastAsia="Calibri" w:hAnsi="Calibri" w:cs="Calibri"/>
          <w:b/>
          <w:sz w:val="22"/>
          <w:szCs w:val="22"/>
        </w:rPr>
        <w:t xml:space="preserve">4.2. </w:t>
      </w:r>
      <w:r>
        <w:rPr>
          <w:rFonts w:ascii="Calibri" w:eastAsia="Calibri" w:hAnsi="Calibri" w:cs="Calibri"/>
          <w:b/>
          <w:color w:val="000000"/>
          <w:sz w:val="22"/>
          <w:szCs w:val="22"/>
        </w:rPr>
        <w:t>Estrategias previstas para el acompañamiento y seguimiento a las actividades académicas</w:t>
      </w:r>
    </w:p>
    <w:p w14:paraId="0242AD28" w14:textId="77777777" w:rsidR="00FB51AC" w:rsidRDefault="00FB51AC" w:rsidP="00FB51AC">
      <w:pPr>
        <w:ind w:hanging="2"/>
        <w:jc w:val="both"/>
        <w:rPr>
          <w:rFonts w:ascii="Calibri" w:eastAsia="Calibri" w:hAnsi="Calibri" w:cs="Calibri"/>
          <w:color w:val="000000"/>
          <w:sz w:val="22"/>
          <w:szCs w:val="22"/>
        </w:rPr>
      </w:pPr>
    </w:p>
    <w:p w14:paraId="52F9914D"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siguiendo su enfoque pedagógico constructivista, proporciona pautas pedagógicas y didácticas para el aprendizaje en el entorno presencial. Tanto los tutores como los estudiantes deben estar dispuestos a construir estrategias y metodologías que fomenten la educación orientada a la solución de problemas en el ámbito laboral y práctico.</w:t>
      </w:r>
    </w:p>
    <w:p w14:paraId="4B481289" w14:textId="77777777" w:rsidR="00FB51AC" w:rsidRDefault="00FB51AC" w:rsidP="00FB51AC">
      <w:pPr>
        <w:ind w:hanging="2"/>
        <w:jc w:val="both"/>
        <w:rPr>
          <w:rFonts w:ascii="Calibri" w:eastAsia="Calibri" w:hAnsi="Calibri" w:cs="Calibri"/>
          <w:color w:val="000000"/>
          <w:sz w:val="22"/>
          <w:szCs w:val="22"/>
        </w:rPr>
      </w:pPr>
    </w:p>
    <w:p w14:paraId="26FC0144"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t>A nivel social, la educación técnica y tecnológica se fundamenta en la necesidad de ampliar el acceso a la educación en regiones que carecen de centros de educación superior. Esto se considera como una herramienta para influir en el desarrollo regional y la vinculación con el mundo laboral. A nivel político, se sustenta en la necesidad de presentar nuevas estrategias educativas que promuevan la desescolarización y la flexibilidad curricular, centrándose en el aprendizaje como el eje central del proceso educativo.</w:t>
      </w:r>
    </w:p>
    <w:p w14:paraId="2CC94BF8" w14:textId="77777777" w:rsidR="00FB51AC" w:rsidRDefault="00FB51AC" w:rsidP="00FB51AC">
      <w:pPr>
        <w:ind w:hanging="2"/>
        <w:jc w:val="both"/>
        <w:rPr>
          <w:rFonts w:ascii="Calibri" w:eastAsia="Calibri" w:hAnsi="Calibri" w:cs="Calibri"/>
          <w:color w:val="000000"/>
          <w:sz w:val="22"/>
          <w:szCs w:val="22"/>
        </w:rPr>
      </w:pPr>
    </w:p>
    <w:p w14:paraId="417440C3"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t>E</w:t>
      </w:r>
      <w:r>
        <w:rPr>
          <w:rFonts w:ascii="Calibri" w:eastAsia="Calibri" w:hAnsi="Calibri" w:cs="Calibri"/>
          <w:sz w:val="22"/>
          <w:szCs w:val="22"/>
        </w:rPr>
        <w:t>l</w:t>
      </w:r>
      <w:r>
        <w:rPr>
          <w:rFonts w:ascii="Calibri" w:eastAsia="Calibri" w:hAnsi="Calibri" w:cs="Calibri"/>
          <w:color w:val="000000"/>
          <w:sz w:val="22"/>
          <w:szCs w:val="22"/>
        </w:rPr>
        <w:t xml:space="preserve"> programa se basa en la necesidad de mantenerse actualizado con los avances tecnológicos, a través de procesos calificados de transferencia y adaptación tecnológica, con el fin de garantizar un aprendizaje óptimo y pertinente.</w:t>
      </w:r>
    </w:p>
    <w:p w14:paraId="23E54040" w14:textId="77777777" w:rsidR="00FB51AC" w:rsidRDefault="00FB51AC" w:rsidP="00FB51AC">
      <w:pPr>
        <w:ind w:hanging="2"/>
        <w:jc w:val="both"/>
        <w:rPr>
          <w:rFonts w:ascii="Calibri" w:eastAsia="Calibri" w:hAnsi="Calibri" w:cs="Calibri"/>
          <w:color w:val="000000"/>
          <w:sz w:val="22"/>
          <w:szCs w:val="22"/>
        </w:rPr>
      </w:pPr>
    </w:p>
    <w:p w14:paraId="2CDE8EB3"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El programa se enfoca en preparar a sus docentes mediante estas estrategias para el ejercicio actualizado de la enseñanza disciplinar, entendida como el estudio reflexivo del proceso de enseñanza y aprendizaje en relación con los dominios específicos de cada ciencia o disciplina. La enseñanza se vincula al concepto de tutoría y se pone en práctica a través de diversas estrategias, procesos de enseñanza, elaboración de aprendizajes y formas de evaluación, diseñados coherentemente desde el enfoque pedagógico constructivista, el modelo técnico ingenieril y los enfoques problemáticos de los docentes.</w:t>
      </w:r>
    </w:p>
    <w:p w14:paraId="71152C63" w14:textId="77777777" w:rsidR="00FB51AC" w:rsidRDefault="00FB51AC" w:rsidP="00FB51AC">
      <w:pPr>
        <w:ind w:hanging="2"/>
        <w:jc w:val="both"/>
        <w:rPr>
          <w:rFonts w:ascii="Calibri" w:eastAsia="Calibri" w:hAnsi="Calibri" w:cs="Calibri"/>
          <w:color w:val="000000"/>
          <w:sz w:val="22"/>
          <w:szCs w:val="22"/>
        </w:rPr>
      </w:pPr>
    </w:p>
    <w:p w14:paraId="5454B71E"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t>Este enfoque didáctico se caracteriza por ser abierto, flexible y contextualizado, ya que se ve influenciado por las particularidades de las ciencias o disciplinas enseñadas, las habilidades docentes de los tutores y los contextos en los que se imparte la oferta académica.</w:t>
      </w:r>
    </w:p>
    <w:p w14:paraId="5101DC21" w14:textId="77777777" w:rsidR="00FB51AC" w:rsidRDefault="00FB51AC" w:rsidP="00FB51AC">
      <w:pPr>
        <w:ind w:hanging="2"/>
        <w:jc w:val="both"/>
        <w:rPr>
          <w:rFonts w:ascii="Calibri" w:eastAsia="Calibri" w:hAnsi="Calibri" w:cs="Calibri"/>
          <w:color w:val="000000"/>
          <w:sz w:val="22"/>
          <w:szCs w:val="22"/>
        </w:rPr>
      </w:pPr>
    </w:p>
    <w:p w14:paraId="4F66BCD9"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muestra coherencia entre las aspiraciones pedagógicas de la formación humana y las aspiraciones didácticas para la elaboración de aprendizajes significativos y relevantes, surgidos de la reflexión y el proceso de diseño docente.</w:t>
      </w:r>
    </w:p>
    <w:p w14:paraId="3367A906" w14:textId="77777777" w:rsidR="00FB51AC" w:rsidRDefault="00FB51AC" w:rsidP="00FB51AC">
      <w:pPr>
        <w:ind w:hanging="2"/>
        <w:jc w:val="both"/>
        <w:rPr>
          <w:rFonts w:ascii="Calibri" w:eastAsia="Calibri" w:hAnsi="Calibri" w:cs="Calibri"/>
          <w:color w:val="000000"/>
          <w:sz w:val="24"/>
          <w:szCs w:val="24"/>
        </w:rPr>
      </w:pPr>
    </w:p>
    <w:p w14:paraId="2ACC1D01" w14:textId="77777777" w:rsidR="00FB51AC" w:rsidRDefault="00FB51AC" w:rsidP="00FB51AC">
      <w:pPr>
        <w:ind w:hanging="2"/>
        <w:jc w:val="both"/>
        <w:rPr>
          <w:rFonts w:ascii="Calibri" w:eastAsia="Calibri" w:hAnsi="Calibri" w:cs="Calibri"/>
          <w:color w:val="000000"/>
          <w:sz w:val="22"/>
          <w:szCs w:val="22"/>
        </w:rPr>
      </w:pPr>
    </w:p>
    <w:p w14:paraId="73817053" w14:textId="77777777" w:rsidR="00FB51AC" w:rsidRDefault="00FB51AC" w:rsidP="00FB51AC">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Durante el proceso de formación en el programa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se llevarán a cabo una serie de actividades académicas que permitirán a los estudiantes alcanzar los resultados de aprendizaje y adquirir las competencias necesarias para desempeñarse exitosamente en el campo de las energías renovables. Estas actividades estarán diseñadas para brindar una formación integral que combine conocimientos teóricos, prácticos y habilidades específicas, y fomentarán el aprendizaje activo y participativo. Algunas de las actividades académicas que se desarrollarán son las siguientes:</w:t>
      </w:r>
    </w:p>
    <w:p w14:paraId="47BF0C80" w14:textId="77777777" w:rsidR="00FB51AC" w:rsidRDefault="00FB51AC" w:rsidP="00FB51AC">
      <w:pPr>
        <w:ind w:hanging="2"/>
        <w:jc w:val="both"/>
        <w:rPr>
          <w:rFonts w:ascii="Calibri" w:eastAsia="Calibri" w:hAnsi="Calibri" w:cs="Calibri"/>
          <w:color w:val="000000"/>
          <w:sz w:val="22"/>
          <w:szCs w:val="22"/>
        </w:rPr>
      </w:pPr>
    </w:p>
    <w:p w14:paraId="074F5728" w14:textId="77777777" w:rsidR="00FB51AC" w:rsidRDefault="00FB51AC" w:rsidP="00FB51AC">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Clases teóricas: Los estudiantes participarán en clases magistrales impartidas por profesores especializados en el área de energías renovables. Estas clases abordarán conceptos fundamentales sobre las distintas tecnologías, principios de operación, aplicaciones prácticas y desafíos asociados con cada una de ellas.</w:t>
      </w:r>
    </w:p>
    <w:p w14:paraId="09CF460B" w14:textId="77777777" w:rsidR="00FB51AC" w:rsidRDefault="00FB51AC" w:rsidP="00FB51AC">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Laboratorios prácticos: Se realizarán actividades de laboratorio donde los estudiantes tendrán la oportunidad de poner en práctica los conocimientos teóricos adquiridos. Estas prácticas incluirán el manejo de equipos y tecnologías utilizadas en el campo de las energías renovables, como paneles solares, turbinas eólicas, celdas de hidrógeno, entre otros.</w:t>
      </w:r>
    </w:p>
    <w:p w14:paraId="6FBEC36C" w14:textId="77777777" w:rsidR="00FB51AC" w:rsidRDefault="00FB51AC" w:rsidP="00FB51AC">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Trabajo de campo: Se organizarán salidas de campo a instalaciones de energías renovables para que los estudiantes conozcan de primera mano proyectos en funcionamiento y tengan la oportunidad de interactuar con profesionales del sector. Estas visitas proporcionarán una visión más práctica y aplicada de las tecnologías y su implementación.</w:t>
      </w:r>
    </w:p>
    <w:p w14:paraId="045C059E" w14:textId="77777777" w:rsidR="00FB51AC" w:rsidRDefault="00FB51AC" w:rsidP="00FB51AC">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Proyectos de investigación: Los estudiantes realizarán proyectos de investigación relacionados con energías renovables, donde podrán profundizar en temas específicos y aplicar los conocimientos adquiridos para resolver problemas reales. Estos proyectos fomentarán la creatividad, el trabajo en equipo y el pensamiento crítico.</w:t>
      </w:r>
    </w:p>
    <w:p w14:paraId="595029C8" w14:textId="77777777" w:rsidR="00FB51AC" w:rsidRDefault="00FB51AC" w:rsidP="00FB51AC">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Talleres y seminarios: Se llevarán a cabo talleres y seminarios especializados, donde expertos en energías renovables compartirán experiencias, casos de éxito y avances tecnológicos relevantes. Estas actividades complementarán la formación teórica con ejemplos prácticos y aplicaciones innovadoras.</w:t>
      </w:r>
    </w:p>
    <w:p w14:paraId="735FBE03" w14:textId="77777777" w:rsidR="00FB51AC" w:rsidRPr="009E01BF" w:rsidRDefault="00FB51AC" w:rsidP="00FB51AC">
      <w:pPr>
        <w:numPr>
          <w:ilvl w:val="0"/>
          <w:numId w:val="38"/>
        </w:numPr>
        <w:pBdr>
          <w:top w:val="nil"/>
          <w:left w:val="nil"/>
          <w:bottom w:val="nil"/>
          <w:right w:val="nil"/>
          <w:between w:val="nil"/>
        </w:pBdr>
        <w:jc w:val="both"/>
        <w:rPr>
          <w:rFonts w:ascii="Calibri" w:eastAsia="Calibri" w:hAnsi="Calibri" w:cs="Calibri"/>
          <w:color w:val="000000"/>
          <w:sz w:val="22"/>
          <w:szCs w:val="22"/>
        </w:rPr>
      </w:pPr>
      <w:r w:rsidRPr="009E01BF">
        <w:rPr>
          <w:rFonts w:ascii="Calibri" w:eastAsia="Calibri" w:hAnsi="Calibri" w:cs="Calibri"/>
          <w:color w:val="000000"/>
          <w:sz w:val="22"/>
          <w:szCs w:val="22"/>
        </w:rPr>
        <w:t>Evaluaciones continuas: A lo largo del programa, se realizarán evaluaciones periódicas para medir el progreso de los estudiantes y asegurar el logro de los resultados de aprendizaje. Estas evaluaciones incluirán pruebas escritas, trabajos prácticos, presentaciones y proyectos.</w:t>
      </w:r>
    </w:p>
    <w:p w14:paraId="3B09698F" w14:textId="77777777" w:rsidR="00FB51AC" w:rsidRDefault="00FB51AC" w:rsidP="00FB51AC">
      <w:pPr>
        <w:pBdr>
          <w:top w:val="nil"/>
          <w:left w:val="nil"/>
          <w:bottom w:val="nil"/>
          <w:right w:val="nil"/>
          <w:between w:val="nil"/>
        </w:pBdr>
        <w:ind w:left="720"/>
        <w:jc w:val="both"/>
        <w:rPr>
          <w:rFonts w:ascii="Calibri" w:eastAsia="Calibri" w:hAnsi="Calibri" w:cs="Calibri"/>
          <w:color w:val="000000"/>
          <w:sz w:val="22"/>
          <w:szCs w:val="22"/>
        </w:rPr>
      </w:pPr>
    </w:p>
    <w:p w14:paraId="73235F26" w14:textId="77777777" w:rsidR="00FB51AC" w:rsidRDefault="00FB51AC" w:rsidP="00FB51AC">
      <w:pPr>
        <w:jc w:val="both"/>
        <w:rPr>
          <w:rFonts w:ascii="Calibri" w:eastAsia="Calibri" w:hAnsi="Calibri" w:cs="Calibri"/>
          <w:color w:val="000000"/>
          <w:sz w:val="22"/>
          <w:szCs w:val="22"/>
        </w:rPr>
      </w:pPr>
    </w:p>
    <w:p w14:paraId="2F062A98" w14:textId="77777777" w:rsidR="00FB51AC" w:rsidRDefault="00FB51AC" w:rsidP="00FB51AC">
      <w:pPr>
        <w:ind w:hanging="2"/>
        <w:jc w:val="both"/>
      </w:pPr>
      <w:r>
        <w:rPr>
          <w:rFonts w:ascii="Calibri" w:eastAsia="Calibri" w:hAnsi="Calibri" w:cs="Calibri"/>
          <w:color w:val="000000"/>
          <w:sz w:val="22"/>
          <w:szCs w:val="22"/>
        </w:rPr>
        <w:t>Mediante estas actividades académicas, se busca que los estudiantes adquieran una formación integral en energías renovables, desarrollen habilidades técnicas y prácticas, y se preparen para enfrentar los desafíos y oportunidades que ofrece este campo en constante evolución. El enfoque práctico y aplicado de las actividades académicas garantizará que los egresados del programa estén preparados para enfrentar los retos del mundo real y contribuir al desarrollo sostenible y la transición hacia una energía más limpia y renovable.</w:t>
      </w:r>
    </w:p>
    <w:p w14:paraId="2E9DC8FB" w14:textId="77777777" w:rsidR="00AE584A" w:rsidRPr="00D667E8" w:rsidRDefault="00AE584A" w:rsidP="00FB51AC">
      <w:pPr>
        <w:ind w:hanging="2"/>
        <w:jc w:val="both"/>
        <w:rPr>
          <w:rFonts w:eastAsia="Calibri"/>
        </w:rPr>
      </w:pPr>
    </w:p>
    <w:sectPr w:rsidR="00AE584A" w:rsidRPr="00D66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2"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1"/>
  </w:num>
  <w:num w:numId="3" w16cid:durableId="1453089526">
    <w:abstractNumId w:val="14"/>
  </w:num>
  <w:num w:numId="4" w16cid:durableId="73086089">
    <w:abstractNumId w:val="1"/>
  </w:num>
  <w:num w:numId="5" w16cid:durableId="1859005645">
    <w:abstractNumId w:val="32"/>
  </w:num>
  <w:num w:numId="6" w16cid:durableId="700862815">
    <w:abstractNumId w:val="10"/>
  </w:num>
  <w:num w:numId="7" w16cid:durableId="712197340">
    <w:abstractNumId w:val="19"/>
  </w:num>
  <w:num w:numId="8" w16cid:durableId="1552764655">
    <w:abstractNumId w:val="33"/>
  </w:num>
  <w:num w:numId="9" w16cid:durableId="1730155739">
    <w:abstractNumId w:val="30"/>
  </w:num>
  <w:num w:numId="10" w16cid:durableId="222643060">
    <w:abstractNumId w:val="2"/>
  </w:num>
  <w:num w:numId="11" w16cid:durableId="1010256410">
    <w:abstractNumId w:val="16"/>
  </w:num>
  <w:num w:numId="12" w16cid:durableId="40137174">
    <w:abstractNumId w:val="26"/>
  </w:num>
  <w:num w:numId="13" w16cid:durableId="1480414254">
    <w:abstractNumId w:val="34"/>
  </w:num>
  <w:num w:numId="14" w16cid:durableId="1070813161">
    <w:abstractNumId w:val="8"/>
  </w:num>
  <w:num w:numId="15" w16cid:durableId="1656106609">
    <w:abstractNumId w:val="5"/>
  </w:num>
  <w:num w:numId="16" w16cid:durableId="517932539">
    <w:abstractNumId w:val="23"/>
  </w:num>
  <w:num w:numId="17" w16cid:durableId="1622299777">
    <w:abstractNumId w:val="27"/>
  </w:num>
  <w:num w:numId="18" w16cid:durableId="484277685">
    <w:abstractNumId w:val="31"/>
  </w:num>
  <w:num w:numId="19" w16cid:durableId="144708094">
    <w:abstractNumId w:val="0"/>
  </w:num>
  <w:num w:numId="20" w16cid:durableId="42755322">
    <w:abstractNumId w:val="18"/>
  </w:num>
  <w:num w:numId="21" w16cid:durableId="1905145564">
    <w:abstractNumId w:val="11"/>
  </w:num>
  <w:num w:numId="22" w16cid:durableId="817964108">
    <w:abstractNumId w:val="29"/>
  </w:num>
  <w:num w:numId="23" w16cid:durableId="1400593496">
    <w:abstractNumId w:val="17"/>
  </w:num>
  <w:num w:numId="24" w16cid:durableId="1727486029">
    <w:abstractNumId w:val="22"/>
  </w:num>
  <w:num w:numId="25" w16cid:durableId="1006177461">
    <w:abstractNumId w:val="12"/>
  </w:num>
  <w:num w:numId="26" w16cid:durableId="1718774160">
    <w:abstractNumId w:val="4"/>
  </w:num>
  <w:num w:numId="27" w16cid:durableId="668287310">
    <w:abstractNumId w:val="3"/>
  </w:num>
  <w:num w:numId="28" w16cid:durableId="677733384">
    <w:abstractNumId w:val="28"/>
  </w:num>
  <w:num w:numId="29" w16cid:durableId="1335572895">
    <w:abstractNumId w:val="35"/>
  </w:num>
  <w:num w:numId="30" w16cid:durableId="808589738">
    <w:abstractNumId w:val="25"/>
  </w:num>
  <w:num w:numId="31" w16cid:durableId="719403312">
    <w:abstractNumId w:val="24"/>
  </w:num>
  <w:num w:numId="32" w16cid:durableId="1235969812">
    <w:abstractNumId w:val="20"/>
  </w:num>
  <w:num w:numId="33" w16cid:durableId="1258637859">
    <w:abstractNumId w:val="37"/>
  </w:num>
  <w:num w:numId="34" w16cid:durableId="1685746563">
    <w:abstractNumId w:val="15"/>
  </w:num>
  <w:num w:numId="35" w16cid:durableId="220486102">
    <w:abstractNumId w:val="6"/>
  </w:num>
  <w:num w:numId="36" w16cid:durableId="1466000633">
    <w:abstractNumId w:val="13"/>
  </w:num>
  <w:num w:numId="37" w16cid:durableId="1213273241">
    <w:abstractNumId w:val="36"/>
  </w:num>
  <w:num w:numId="38" w16cid:durableId="399328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3442D5"/>
    <w:rsid w:val="00623E7E"/>
    <w:rsid w:val="00852AE4"/>
    <w:rsid w:val="009B1F4D"/>
    <w:rsid w:val="00AE584A"/>
    <w:rsid w:val="00BD31F7"/>
    <w:rsid w:val="00D667E8"/>
    <w:rsid w:val="00D9340F"/>
    <w:rsid w:val="00E524A1"/>
    <w:rsid w:val="00EB0484"/>
    <w:rsid w:val="00ED6C7F"/>
    <w:rsid w:val="00F218B1"/>
    <w:rsid w:val="00FB51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1195</Words>
  <Characters>6577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5</cp:revision>
  <dcterms:created xsi:type="dcterms:W3CDTF">2024-09-01T20:01:00Z</dcterms:created>
  <dcterms:modified xsi:type="dcterms:W3CDTF">2025-05-17T13:37:00Z</dcterms:modified>
</cp:coreProperties>
</file>