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033EB" w14:textId="77777777" w:rsidR="00014322" w:rsidRDefault="00014322" w:rsidP="00014322">
      <w:pPr>
        <w:jc w:val="center"/>
        <w:rPr>
          <w:rFonts w:ascii="Calibri" w:eastAsia="Calibri" w:hAnsi="Calibri" w:cs="Calibri"/>
          <w:b/>
          <w:i/>
          <w:color w:val="000000"/>
          <w:sz w:val="24"/>
          <w:szCs w:val="24"/>
        </w:rPr>
      </w:pPr>
      <w:r>
        <w:rPr>
          <w:rFonts w:ascii="Calibri" w:eastAsia="Calibri" w:hAnsi="Calibri" w:cs="Calibri"/>
          <w:b/>
          <w:i/>
          <w:color w:val="000000"/>
          <w:sz w:val="24"/>
          <w:szCs w:val="24"/>
        </w:rPr>
        <w:t>MEDIOS EDUCATIVOS</w:t>
      </w:r>
    </w:p>
    <w:p w14:paraId="23447213" w14:textId="77777777" w:rsidR="00014322" w:rsidRDefault="00014322" w:rsidP="00014322">
      <w:pPr>
        <w:ind w:hanging="2"/>
        <w:jc w:val="both"/>
        <w:rPr>
          <w:rFonts w:ascii="Calibri" w:eastAsia="Calibri" w:hAnsi="Calibri" w:cs="Calibri"/>
          <w:sz w:val="24"/>
          <w:szCs w:val="24"/>
        </w:rPr>
      </w:pPr>
    </w:p>
    <w:p w14:paraId="3A789AE7" w14:textId="77777777" w:rsidR="00922971" w:rsidRDefault="00922971" w:rsidP="00922971">
      <w:pPr>
        <w:ind w:hanging="2"/>
        <w:jc w:val="both"/>
        <w:rPr>
          <w:rFonts w:ascii="Calibri" w:eastAsia="Calibri" w:hAnsi="Calibri" w:cs="Calibri"/>
          <w:sz w:val="24"/>
          <w:szCs w:val="24"/>
        </w:rPr>
      </w:pPr>
      <w:bookmarkStart w:id="0" w:name="_heading=h.1fob9te" w:colFirst="0" w:colLast="0"/>
      <w:bookmarkEnd w:id="0"/>
    </w:p>
    <w:p w14:paraId="3FDB74D9" w14:textId="77777777" w:rsidR="00922971" w:rsidRDefault="00922971" w:rsidP="00922971">
      <w:pPr>
        <w:ind w:hanging="2"/>
        <w:jc w:val="both"/>
        <w:rPr>
          <w:rFonts w:ascii="Calibri" w:eastAsia="Calibri" w:hAnsi="Calibri" w:cs="Calibri"/>
          <w:sz w:val="22"/>
          <w:szCs w:val="22"/>
        </w:rPr>
      </w:pPr>
      <w:r>
        <w:rPr>
          <w:rFonts w:ascii="Calibri" w:eastAsia="Calibri" w:hAnsi="Calibri" w:cs="Calibri"/>
          <w:sz w:val="22"/>
          <w:szCs w:val="22"/>
        </w:rPr>
        <w:t>La selección de los medios educativos disponibles para sus procesos de aprendizaje y enseñanza se eligen desde el programa de acuerdo con los diferentes Planes Institucionales de Actividades Académicas (PIAA), a continuación, se presentan diferentes medios que estarían disponibles para los estudiantes del programa:</w:t>
      </w:r>
    </w:p>
    <w:p w14:paraId="611E7602" w14:textId="77777777" w:rsidR="00922971" w:rsidRDefault="00922971" w:rsidP="00922971">
      <w:pPr>
        <w:ind w:hanging="2"/>
        <w:jc w:val="both"/>
        <w:rPr>
          <w:rFonts w:ascii="Calibri" w:eastAsia="Calibri" w:hAnsi="Calibri" w:cs="Calibri"/>
          <w:sz w:val="22"/>
          <w:szCs w:val="22"/>
        </w:rPr>
      </w:pPr>
    </w:p>
    <w:p w14:paraId="68A20803" w14:textId="77777777" w:rsidR="00922971" w:rsidRDefault="00922971" w:rsidP="00922971">
      <w:pPr>
        <w:ind w:hanging="2"/>
        <w:jc w:val="both"/>
        <w:rPr>
          <w:rFonts w:ascii="Calibri" w:eastAsia="Calibri" w:hAnsi="Calibri" w:cs="Calibri"/>
          <w:sz w:val="22"/>
          <w:szCs w:val="22"/>
        </w:rPr>
      </w:pPr>
      <w:r>
        <w:rPr>
          <w:rFonts w:ascii="Calibri" w:eastAsia="Calibri" w:hAnsi="Calibri" w:cs="Calibri"/>
          <w:sz w:val="22"/>
          <w:szCs w:val="22"/>
        </w:rPr>
        <w:t>Recursos bibliográficos y bases de datos:</w:t>
      </w:r>
    </w:p>
    <w:p w14:paraId="2B1A3A66" w14:textId="77777777" w:rsidR="00922971" w:rsidRDefault="00922971" w:rsidP="00922971">
      <w:pPr>
        <w:ind w:hanging="2"/>
        <w:jc w:val="both"/>
        <w:rPr>
          <w:rFonts w:ascii="Calibri" w:eastAsia="Calibri" w:hAnsi="Calibri" w:cs="Calibri"/>
          <w:sz w:val="22"/>
          <w:szCs w:val="22"/>
        </w:rPr>
      </w:pPr>
      <w:r>
        <w:rPr>
          <w:rFonts w:ascii="Calibri" w:eastAsia="Calibri" w:hAnsi="Calibri" w:cs="Calibri"/>
          <w:sz w:val="22"/>
          <w:szCs w:val="22"/>
        </w:rPr>
        <w:t>La Universidad de Caldas cuenta con un Centro de Bibliotecas (https://biblio.ucaldas.edu.co/) al cual pueden acceder todos los estudiantes, profesores y empleados de la universidad, ya sea mediante el préstamo de medios físicos como libros, manuales, revistas etc., o en la página a diferentes recursos digitales como Revistas electrónicas, artículos, repositorios y Bases de Datos con las cuales existe suscripción o convenio; con relación al objeto de estudio del programa, las bases de datos más destacadas son:</w:t>
      </w:r>
    </w:p>
    <w:p w14:paraId="283F36B2"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Es un servicio electrónico de información en texto completo con el mayor prestigio en la comunidad científica y universitaria; su mayor contenido se orienta a las áreas de ciencia, tecnología y medicina. La licencia permite el acceso a las colecciones desde el año 2002 con más de 350 Revistas y 8 Enciclopedias en el Paquete de sociales y ciencias ambientales; más de 890 Revistas y 24 Enciclopedias en el Paquete de salud y ciencias de la vida; más de 600 Revistas y 21 Enciclopedias en el Paquete de ciencias.</w:t>
      </w:r>
    </w:p>
    <w:p w14:paraId="1C2203C3"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Scopus</w:t>
      </w:r>
      <w:proofErr w:type="spellEnd"/>
      <w:r>
        <w:rPr>
          <w:rFonts w:ascii="Calibri" w:eastAsia="Calibri" w:hAnsi="Calibri" w:cs="Calibri"/>
          <w:sz w:val="22"/>
          <w:szCs w:val="22"/>
        </w:rPr>
        <w:t>: Es la mayor base de resúmenes y citas de literatura científica revisada por pares y de fuentes Web de calidad, que integra herramientas inteligentes para acompañar, analizar y visualizar los resultados de la búsqueda. Es una gran base de datos multidisciplinar elaborada por Elsevier para cubrir ambiciosamente todo el campo de la información científica referencial; es una novedosa herramienta de navegación que engloba la mayor colección multidisciplinar a nivel mundial de resúmenes, referencias e índices de literatura científica, técnica y médica. Sus principales materias son: Agricultura, Biología, Química, Geología, Economía, Negocios, Ingeniería, Salud, Ciencias de la vida, Matemáticas, Física, Psicología y Ciencias Sociales.</w:t>
      </w:r>
    </w:p>
    <w:p w14:paraId="5FF7130D"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Engineering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Village</w:t>
      </w:r>
      <w:proofErr w:type="spellEnd"/>
      <w:r>
        <w:rPr>
          <w:rFonts w:ascii="Calibri" w:eastAsia="Calibri" w:hAnsi="Calibri" w:cs="Calibri"/>
          <w:sz w:val="22"/>
          <w:szCs w:val="22"/>
        </w:rPr>
        <w:t>: Es un servicio electrónico de información referencial que resume alrededor de 4500 títulos de revistas y 2000 memorias de eventos profesionales en ingeniería a nivel mundial; con cerca de 8 millones de registros de resúmenes de revistas, conferencias, procedimientos, informes técnicos y monografías. Cubre más de 35 años de literatura en ingeniería, abarcando 175 disciplinas. Cubre áreas de aeronáutica, ingeniería electrónica, energía y petróleo, física aplicada, ingeniería química, tecnología agroindustrial, telecomunicaciones, transporte, ciencias de la información, transporte y automóviles, minería y metalurgia.</w:t>
      </w:r>
    </w:p>
    <w:p w14:paraId="24A2B0F1"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Jstor</w:t>
      </w:r>
      <w:proofErr w:type="spellEnd"/>
      <w:r>
        <w:rPr>
          <w:rFonts w:ascii="Calibri" w:eastAsia="Calibri" w:hAnsi="Calibri" w:cs="Calibri"/>
          <w:sz w:val="22"/>
          <w:szCs w:val="22"/>
        </w:rPr>
        <w:t xml:space="preserve">: Base de datos multidisciplinar en texto completo que crea y mantiene un extenso archivo de importantes publicaciones; ofrece a los investigadores la capacidad para descargar imágenes de páginas y ediciones de publicaciones, escaneadas en alta resolución, según fueron creadas, impresas e ilustradas originalmente. Las bases adquiridas (art &amp;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I, II y III) tienen alto contenido temático en artes, música y humanidades, pero se encuentra también información en las diferentes áreas de la ciencia.</w:t>
      </w:r>
    </w:p>
    <w:p w14:paraId="106AD184"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Ovid</w:t>
      </w:r>
      <w:proofErr w:type="spellEnd"/>
      <w:r>
        <w:rPr>
          <w:rFonts w:ascii="Calibri" w:eastAsia="Calibri" w:hAnsi="Calibri" w:cs="Calibri"/>
          <w:sz w:val="22"/>
          <w:szCs w:val="22"/>
        </w:rPr>
        <w:t xml:space="preserve">: Base de datos para el área de medicina, ciencias de la vida, humanidades y referencias en general, con acceso texto completo a la colección de Lippincott Williams &amp; Wilkins y 700 referencias bibliográficas de </w:t>
      </w:r>
      <w:proofErr w:type="spellStart"/>
      <w:r>
        <w:rPr>
          <w:rFonts w:ascii="Calibri" w:eastAsia="Calibri" w:hAnsi="Calibri" w:cs="Calibri"/>
          <w:sz w:val="22"/>
          <w:szCs w:val="22"/>
        </w:rPr>
        <w:t>Journals@ovidfulltext</w:t>
      </w:r>
      <w:proofErr w:type="spellEnd"/>
      <w:r>
        <w:rPr>
          <w:rFonts w:ascii="Calibri" w:eastAsia="Calibri" w:hAnsi="Calibri" w:cs="Calibri"/>
          <w:sz w:val="22"/>
          <w:szCs w:val="22"/>
        </w:rPr>
        <w:t>, como también a la base de datos EBMR (especializada en medicina basada en la evidencia). Acceso texto completo a 20 libros.</w:t>
      </w:r>
    </w:p>
    <w:p w14:paraId="6CF45EC3"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r>
      <w:proofErr w:type="spellStart"/>
      <w:r>
        <w:rPr>
          <w:rFonts w:ascii="Calibri" w:eastAsia="Calibri" w:hAnsi="Calibri" w:cs="Calibri"/>
          <w:sz w:val="22"/>
          <w:szCs w:val="22"/>
        </w:rPr>
        <w:t>Proquest</w:t>
      </w:r>
      <w:proofErr w:type="spellEnd"/>
      <w:r>
        <w:rPr>
          <w:rFonts w:ascii="Calibri" w:eastAsia="Calibri" w:hAnsi="Calibri" w:cs="Calibri"/>
          <w:sz w:val="22"/>
          <w:szCs w:val="22"/>
        </w:rPr>
        <w:t>: Acceso en texto completo a más de 4000 publicaciones periódicas, cubre todas las áreas, con facilidad de traducción de los artículos y la consulta temática basada en tesauros.</w:t>
      </w:r>
    </w:p>
    <w:p w14:paraId="75E44650"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E-libro: cubre todas las áreas y contiene cerca de 40.000 libros en texto completo, 7.000 de los cuales están en español.</w:t>
      </w:r>
    </w:p>
    <w:p w14:paraId="516A656B"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Ebrary: ofrece a las bibliotecas e instituciones académicas, mediante un exclusivo sistema una solución integrada para el acceso electrónico remoto y simultáneo de miles de usuarios a contenidos a través de Internet, combina una poderosa y versátil plataforma de software con avanzada tecnología de búsqueda con marcadores, anotaciones y resaltadores, con más de 25.000 títulos en diferentes áreas del conocimiento, tales como Lengua y Literatura, Ciencias Sociales, Historia, Informática, Ciencia y Tecnología, Filosofía y Psicología, entre otras.</w:t>
      </w:r>
    </w:p>
    <w:p w14:paraId="79C1AB89"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r>
      <w:proofErr w:type="spellStart"/>
      <w:r>
        <w:rPr>
          <w:rFonts w:ascii="Calibri" w:eastAsia="Calibri" w:hAnsi="Calibri" w:cs="Calibri"/>
          <w:sz w:val="22"/>
          <w:szCs w:val="22"/>
        </w:rPr>
        <w:t>LexBase</w:t>
      </w:r>
      <w:proofErr w:type="spellEnd"/>
      <w:r>
        <w:rPr>
          <w:rFonts w:ascii="Calibri" w:eastAsia="Calibri" w:hAnsi="Calibri" w:cs="Calibri"/>
          <w:sz w:val="22"/>
          <w:szCs w:val="22"/>
        </w:rPr>
        <w:t>: es una herramienta de trabajo indispensable en la consulta de los textos oficiales de la Constitución, las Leyes expedidas por el Congreso de la República, los Decretos emitidos por el Gobierno Nacional, la Jurisprudencia de la Corte Constitucional, la Corte Suprema de Justicia y el Consejo de Estado. También hemos incluido la Normatividad Andina por cuanto ella hace parte de nuestro Derecho Interno.</w:t>
      </w:r>
    </w:p>
    <w:p w14:paraId="15DE95AB"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HINARI: es un programa establecido por la Organización Mundial de la Salud (OMS) junto a las mayores editoriales del mundo, que facilita el acceso de los países en vías de desarrollo a una de las más extensas colecciones de literatura biomédica y de salud. Más de 3070 revistas en ciencias básicas, bioquímica, cardiología, medicina clínica, odontología, educación, ética, medicina general, geriatría, inmunología, enfermedades infecciosas, microbiología, enfermería y salud, nutrición, obstetricia y ginecología, oncología, parasicología, pediatría, ciencias sociales, cirugía, toxicología, medicina tropical y zoología.</w:t>
      </w:r>
    </w:p>
    <w:p w14:paraId="17206E02" w14:textId="77777777" w:rsidR="00922971" w:rsidRDefault="00922971" w:rsidP="00922971">
      <w:pPr>
        <w:ind w:hanging="2"/>
        <w:jc w:val="both"/>
        <w:rPr>
          <w:rFonts w:ascii="Calibri" w:eastAsia="Calibri" w:hAnsi="Calibri" w:cs="Calibri"/>
          <w:sz w:val="22"/>
          <w:szCs w:val="22"/>
        </w:rPr>
      </w:pPr>
    </w:p>
    <w:p w14:paraId="5228EEA2" w14:textId="77777777" w:rsidR="00922971" w:rsidRDefault="00922971" w:rsidP="00922971">
      <w:pPr>
        <w:ind w:hanging="2"/>
        <w:jc w:val="both"/>
        <w:rPr>
          <w:rFonts w:ascii="Calibri" w:eastAsia="Calibri" w:hAnsi="Calibri" w:cs="Calibri"/>
          <w:sz w:val="22"/>
          <w:szCs w:val="22"/>
        </w:rPr>
      </w:pPr>
    </w:p>
    <w:p w14:paraId="0757A7A1" w14:textId="77777777" w:rsidR="00922971" w:rsidRDefault="00922971" w:rsidP="00922971">
      <w:pPr>
        <w:ind w:hanging="2"/>
        <w:jc w:val="both"/>
        <w:rPr>
          <w:rFonts w:ascii="Calibri" w:eastAsia="Calibri" w:hAnsi="Calibri" w:cs="Calibri"/>
          <w:sz w:val="22"/>
          <w:szCs w:val="22"/>
        </w:rPr>
      </w:pPr>
      <w:r>
        <w:rPr>
          <w:rFonts w:ascii="Calibri" w:eastAsia="Calibri" w:hAnsi="Calibri" w:cs="Calibri"/>
          <w:sz w:val="22"/>
          <w:szCs w:val="22"/>
        </w:rPr>
        <w:t>El acceso al material bibliográfico es posible a través de las siguientes formas:</w:t>
      </w:r>
    </w:p>
    <w:p w14:paraId="48C678BF"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en sala. Los usuarios pueden solicitar el material bibliográfico para ser consultado en las salas de lectura de la biblioteca.</w:t>
      </w:r>
    </w:p>
    <w:p w14:paraId="01130624"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externo. Para todos los estudiantes, docentes, personal de la Universidad de Caldas y usuarios registrados en las bibliotecas cooperantes en el convenio interbibliotecario, siempre y cuando se encuentren a paz y salvo con la biblioteca.</w:t>
      </w:r>
    </w:p>
    <w:p w14:paraId="51DF42E2"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Préstamo interbibliotecario. Es el servicio que permite a todos los usuarios adscritos a las distintas bibliotecas cuyas instituciones han establecido convenios de cooperación. De esta forma, los usuarios de una institución pueden utilizar los documentos de la biblioteca de otra institución.</w:t>
      </w:r>
    </w:p>
    <w:p w14:paraId="7D15AD98"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Referencia. Es un servicio de orientación al usuario para el acceso ágil y oportuno a los medios y recursos de la biblioteca, así como para la utilización de estos.</w:t>
      </w:r>
    </w:p>
    <w:p w14:paraId="43B18F30"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Servicio de información virtual. Servicio de referencia especializada para la búsqueda, recuperación y envío de la información de los usuarios investigadores, que se realiza en fuente de información de la Biblioteca y externas a la misma. Este servicio incluye búsqueda de información en bases de datos nacionales e internacionales, inducción en el uso de los recursos y uso de la sala de informática.</w:t>
      </w:r>
    </w:p>
    <w:p w14:paraId="0DCEFEBB"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Bibliografías. Localización de las referencias bibliográficas de documentos sobre un tema determinado.</w:t>
      </w:r>
    </w:p>
    <w:p w14:paraId="590EFAB0"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Conmutación bibliográfica. Complementa el servicio de bibliografía cuando el usuario identifica y selecciona de la bibliografía obtenida, documentos que la biblioteca no posee y es necesario obtenerlos con otra institución.</w:t>
      </w:r>
    </w:p>
    <w:p w14:paraId="2EB418F7"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Diseminación s prevención va de la información. Distribución de información de interés de acuerdo con los perfiles presentados por los usuarios registrados o de acuerdo con las necesidades bibliográficas de los diferentes programas académicos.</w:t>
      </w:r>
    </w:p>
    <w:p w14:paraId="4E2E8C34"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sz w:val="22"/>
          <w:szCs w:val="22"/>
        </w:rPr>
        <w:tab/>
        <w:t>Renovación de material bibliográfico telefónicamente. Servicio para el material de colección general.</w:t>
      </w:r>
    </w:p>
    <w:p w14:paraId="6AC583E0"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Visitas guiadas a instituciones que lo requieran. Los funcionarios referencias hacen un recorrido por toda la biblioteca comentando las diferentes colecciones y explicando su consulta.</w:t>
      </w:r>
    </w:p>
    <w:p w14:paraId="3661122D" w14:textId="77777777" w:rsidR="00922971" w:rsidRDefault="00922971" w:rsidP="00922971">
      <w:pPr>
        <w:ind w:left="720" w:hanging="2"/>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rPr>
        <w:tab/>
        <w:t>Para ampliar la disponibilidad de recursos de información, la Universidad se ha vinculado a los consorcios COLCIENCIAS para la adquisición de la base de datos “</w:t>
      </w:r>
      <w:proofErr w:type="spellStart"/>
      <w:r>
        <w:rPr>
          <w:rFonts w:ascii="Calibri" w:eastAsia="Calibri" w:hAnsi="Calibri" w:cs="Calibri"/>
          <w:sz w:val="22"/>
          <w:szCs w:val="22"/>
        </w:rPr>
        <w:t>Science</w:t>
      </w:r>
      <w:proofErr w:type="spellEnd"/>
      <w:r>
        <w:rPr>
          <w:rFonts w:ascii="Calibri" w:eastAsia="Calibri" w:hAnsi="Calibri" w:cs="Calibri"/>
          <w:sz w:val="22"/>
          <w:szCs w:val="22"/>
        </w:rPr>
        <w:t xml:space="preserve"> Direct -</w:t>
      </w:r>
      <w:proofErr w:type="spellStart"/>
      <w:r>
        <w:rPr>
          <w:rFonts w:ascii="Calibri" w:eastAsia="Calibri" w:hAnsi="Calibri" w:cs="Calibri"/>
          <w:sz w:val="22"/>
          <w:szCs w:val="22"/>
        </w:rPr>
        <w:t>Scopus</w:t>
      </w:r>
      <w:proofErr w:type="spellEnd"/>
      <w:r>
        <w:rPr>
          <w:rFonts w:ascii="Calibri" w:eastAsia="Calibri" w:hAnsi="Calibri" w:cs="Calibri"/>
          <w:sz w:val="22"/>
          <w:szCs w:val="22"/>
        </w:rPr>
        <w:t>”; con ASCOFAME para la adquisición de “</w:t>
      </w:r>
      <w:proofErr w:type="spellStart"/>
      <w:r>
        <w:rPr>
          <w:rFonts w:ascii="Calibri" w:eastAsia="Calibri" w:hAnsi="Calibri" w:cs="Calibri"/>
          <w:sz w:val="22"/>
          <w:szCs w:val="22"/>
        </w:rPr>
        <w:t>Ovid</w:t>
      </w:r>
      <w:proofErr w:type="spellEnd"/>
      <w:r>
        <w:rPr>
          <w:rFonts w:ascii="Calibri" w:eastAsia="Calibri" w:hAnsi="Calibri" w:cs="Calibri"/>
          <w:sz w:val="22"/>
          <w:szCs w:val="22"/>
        </w:rPr>
        <w:t>” y con el consorcio de universidades de Colombia para la adquisición de “</w:t>
      </w:r>
      <w:proofErr w:type="spellStart"/>
      <w:r>
        <w:rPr>
          <w:rFonts w:ascii="Calibri" w:eastAsia="Calibri" w:hAnsi="Calibri" w:cs="Calibri"/>
          <w:sz w:val="22"/>
          <w:szCs w:val="22"/>
        </w:rPr>
        <w:t>Proquest</w:t>
      </w:r>
      <w:proofErr w:type="spellEnd"/>
      <w:r>
        <w:rPr>
          <w:rFonts w:ascii="Calibri" w:eastAsia="Calibri" w:hAnsi="Calibri" w:cs="Calibri"/>
          <w:sz w:val="22"/>
          <w:szCs w:val="22"/>
        </w:rPr>
        <w:t>”</w:t>
      </w:r>
    </w:p>
    <w:p w14:paraId="45030E1B" w14:textId="77777777" w:rsidR="00922971" w:rsidRDefault="00922971" w:rsidP="00922971">
      <w:pPr>
        <w:ind w:hanging="2"/>
        <w:jc w:val="both"/>
        <w:rPr>
          <w:rFonts w:ascii="Calibri" w:eastAsia="Calibri" w:hAnsi="Calibri" w:cs="Calibri"/>
          <w:sz w:val="22"/>
          <w:szCs w:val="22"/>
        </w:rPr>
      </w:pPr>
    </w:p>
    <w:p w14:paraId="2140FFC5" w14:textId="77777777" w:rsidR="00922971" w:rsidRDefault="00922971" w:rsidP="00922971">
      <w:pPr>
        <w:ind w:hanging="2"/>
        <w:jc w:val="both"/>
        <w:rPr>
          <w:rFonts w:ascii="Calibri" w:eastAsia="Calibri" w:hAnsi="Calibri" w:cs="Calibri"/>
          <w:sz w:val="22"/>
          <w:szCs w:val="22"/>
        </w:rPr>
      </w:pPr>
    </w:p>
    <w:p w14:paraId="55A0F9DD" w14:textId="77777777" w:rsidR="00922971" w:rsidRDefault="00922971" w:rsidP="00922971">
      <w:pPr>
        <w:ind w:hanging="2"/>
        <w:jc w:val="both"/>
        <w:rPr>
          <w:rFonts w:ascii="Calibri" w:eastAsia="Calibri" w:hAnsi="Calibri" w:cs="Calibri"/>
          <w:sz w:val="22"/>
          <w:szCs w:val="22"/>
        </w:rPr>
      </w:pPr>
    </w:p>
    <w:p w14:paraId="1B9E7033" w14:textId="77777777" w:rsidR="00922971" w:rsidRDefault="00922971" w:rsidP="00922971">
      <w:pPr>
        <w:ind w:hanging="2"/>
        <w:jc w:val="both"/>
        <w:rPr>
          <w:rFonts w:ascii="Calibri" w:eastAsia="Calibri" w:hAnsi="Calibri" w:cs="Calibri"/>
          <w:sz w:val="22"/>
          <w:szCs w:val="22"/>
        </w:rPr>
      </w:pPr>
    </w:p>
    <w:p w14:paraId="284310FF" w14:textId="77777777" w:rsidR="00922971" w:rsidRDefault="00922971" w:rsidP="00922971">
      <w:pPr>
        <w:spacing w:after="160"/>
        <w:ind w:hanging="2"/>
        <w:rPr>
          <w:rFonts w:ascii="Calibri" w:eastAsia="Calibri" w:hAnsi="Calibri" w:cs="Calibri"/>
          <w:color w:val="000000"/>
          <w:sz w:val="22"/>
          <w:szCs w:val="22"/>
        </w:rPr>
      </w:pPr>
      <w:r>
        <w:rPr>
          <w:rFonts w:ascii="Calibri" w:eastAsia="Calibri" w:hAnsi="Calibri" w:cs="Calibri"/>
          <w:color w:val="000000"/>
          <w:sz w:val="22"/>
          <w:szCs w:val="22"/>
        </w:rPr>
        <w:t>A continuación, se relacionan los recursos y espacios disponibles suministrados por la universidad para el desarrollo del programa</w:t>
      </w:r>
    </w:p>
    <w:p w14:paraId="2FEFD084" w14:textId="77777777" w:rsidR="00922971" w:rsidRDefault="00922971" w:rsidP="00922971">
      <w:pPr>
        <w:spacing w:after="160"/>
        <w:ind w:hanging="2"/>
        <w:rPr>
          <w:rFonts w:ascii="Calibri" w:eastAsia="Calibri" w:hAnsi="Calibri" w:cs="Calibri"/>
          <w:color w:val="000000"/>
          <w:sz w:val="22"/>
          <w:szCs w:val="22"/>
        </w:rPr>
      </w:pPr>
      <w:r>
        <w:rPr>
          <w:rFonts w:ascii="Calibri" w:eastAsia="Calibri" w:hAnsi="Calibri" w:cs="Calibri"/>
          <w:color w:val="000000"/>
          <w:sz w:val="22"/>
          <w:szCs w:val="22"/>
        </w:rPr>
        <w:t>En el anexo 1 y 2 se adjuntan todos los equipos con los que el programa cuenta.</w:t>
      </w:r>
    </w:p>
    <w:p w14:paraId="1E1F358A" w14:textId="77777777" w:rsidR="00922971" w:rsidRDefault="00922971" w:rsidP="00922971">
      <w:pPr>
        <w:spacing w:after="160"/>
        <w:ind w:hanging="2"/>
        <w:jc w:val="both"/>
        <w:rPr>
          <w:rFonts w:ascii="Calibri" w:eastAsia="Calibri" w:hAnsi="Calibri" w:cs="Calibri"/>
          <w:sz w:val="22"/>
          <w:szCs w:val="22"/>
        </w:rPr>
      </w:pPr>
      <w:r>
        <w:rPr>
          <w:rFonts w:ascii="Calibri" w:eastAsia="Calibri" w:hAnsi="Calibri" w:cs="Calibri"/>
          <w:sz w:val="22"/>
          <w:szCs w:val="22"/>
        </w:rPr>
        <w:t>Adicional a esto se adjunta anexo 3 de los libros con los que cuenta el programa.</w:t>
      </w:r>
    </w:p>
    <w:p w14:paraId="2E55C3F4" w14:textId="77777777" w:rsidR="00922971" w:rsidRDefault="00922971" w:rsidP="00922971">
      <w:pPr>
        <w:spacing w:after="160"/>
        <w:ind w:hanging="2"/>
        <w:jc w:val="both"/>
        <w:rPr>
          <w:color w:val="000000"/>
          <w:sz w:val="24"/>
          <w:szCs w:val="24"/>
        </w:rPr>
      </w:pPr>
      <w:r>
        <w:rPr>
          <w:rFonts w:ascii="Calibri" w:eastAsia="Calibri" w:hAnsi="Calibri" w:cs="Calibri"/>
          <w:color w:val="000000"/>
          <w:sz w:val="22"/>
          <w:szCs w:val="22"/>
        </w:rPr>
        <w:t xml:space="preserve">El programa usará los laboratorios de mecatrónica y a futuro tendrá su propio laboratorio de Energías Renovables, los laboratorios de </w:t>
      </w:r>
      <w:proofErr w:type="gramStart"/>
      <w:r>
        <w:rPr>
          <w:rFonts w:ascii="Calibri" w:eastAsia="Calibri" w:hAnsi="Calibri" w:cs="Calibri"/>
          <w:color w:val="000000"/>
          <w:sz w:val="22"/>
          <w:szCs w:val="22"/>
        </w:rPr>
        <w:t>mecatrónica  cuenta</w:t>
      </w:r>
      <w:proofErr w:type="gramEnd"/>
      <w:r>
        <w:rPr>
          <w:rFonts w:ascii="Calibri" w:eastAsia="Calibri" w:hAnsi="Calibri" w:cs="Calibri"/>
          <w:color w:val="000000"/>
          <w:sz w:val="22"/>
          <w:szCs w:val="22"/>
        </w:rPr>
        <w:t xml:space="preserve"> específicamente con los siguientes </w:t>
      </w:r>
      <w:r>
        <w:rPr>
          <w:rFonts w:ascii="Calibri" w:eastAsia="Calibri" w:hAnsi="Calibri" w:cs="Calibri"/>
          <w:color w:val="000000"/>
          <w:sz w:val="22"/>
          <w:szCs w:val="22"/>
          <w:highlight w:val="white"/>
        </w:rPr>
        <w:t xml:space="preserve">espacios de laboratorio de </w:t>
      </w:r>
      <w:proofErr w:type="gramStart"/>
      <w:r>
        <w:rPr>
          <w:rFonts w:ascii="Calibri" w:eastAsia="Calibri" w:hAnsi="Calibri" w:cs="Calibri"/>
          <w:color w:val="000000"/>
          <w:sz w:val="22"/>
          <w:szCs w:val="22"/>
          <w:highlight w:val="white"/>
        </w:rPr>
        <w:t>docencia  en</w:t>
      </w:r>
      <w:proofErr w:type="gramEnd"/>
      <w:r>
        <w:rPr>
          <w:rFonts w:ascii="Calibri" w:eastAsia="Calibri" w:hAnsi="Calibri" w:cs="Calibri"/>
          <w:color w:val="000000"/>
          <w:sz w:val="22"/>
          <w:szCs w:val="22"/>
          <w:highlight w:val="white"/>
        </w:rPr>
        <w:t xml:space="preserve"> los cuales desarrollan sus actividades los estudiantes del programa</w:t>
      </w:r>
    </w:p>
    <w:tbl>
      <w:tblPr>
        <w:tblW w:w="664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
        <w:gridCol w:w="231"/>
        <w:gridCol w:w="1697"/>
        <w:gridCol w:w="1453"/>
        <w:gridCol w:w="1125"/>
        <w:gridCol w:w="168"/>
        <w:gridCol w:w="987"/>
      </w:tblGrid>
      <w:tr w:rsidR="00922971" w14:paraId="21DB3CAA" w14:textId="77777777" w:rsidTr="00162F05">
        <w:trPr>
          <w:trHeight w:val="315"/>
        </w:trPr>
        <w:tc>
          <w:tcPr>
            <w:tcW w:w="1215" w:type="dxa"/>
            <w:gridSpan w:val="2"/>
            <w:tcBorders>
              <w:top w:val="single" w:sz="8" w:space="0" w:color="000000"/>
              <w:left w:val="single" w:sz="8" w:space="0" w:color="000000"/>
              <w:bottom w:val="single" w:sz="8" w:space="0" w:color="000000"/>
              <w:right w:val="single" w:sz="4" w:space="0" w:color="000000"/>
            </w:tcBorders>
            <w:tcMar>
              <w:left w:w="70" w:type="dxa"/>
              <w:right w:w="70" w:type="dxa"/>
            </w:tcMar>
            <w:vAlign w:val="center"/>
          </w:tcPr>
          <w:p w14:paraId="2B4B32CC"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Laboratorio</w:t>
            </w:r>
          </w:p>
        </w:tc>
        <w:tc>
          <w:tcPr>
            <w:tcW w:w="3150" w:type="dxa"/>
            <w:gridSpan w:val="2"/>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7EE876B3"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1125" w:type="dxa"/>
            <w:tcBorders>
              <w:top w:val="single" w:sz="8" w:space="0" w:color="000000"/>
              <w:left w:val="single" w:sz="4" w:space="0" w:color="000000"/>
              <w:bottom w:val="single" w:sz="8" w:space="0" w:color="000000"/>
              <w:right w:val="single" w:sz="4" w:space="0" w:color="000000"/>
            </w:tcBorders>
            <w:tcMar>
              <w:left w:w="70" w:type="dxa"/>
              <w:right w:w="70" w:type="dxa"/>
            </w:tcMar>
            <w:vAlign w:val="center"/>
          </w:tcPr>
          <w:p w14:paraId="371EB2E1"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55" w:type="dxa"/>
            <w:gridSpan w:val="2"/>
            <w:tcBorders>
              <w:top w:val="single" w:sz="8" w:space="0" w:color="000000"/>
              <w:left w:val="single" w:sz="4" w:space="0" w:color="000000"/>
              <w:bottom w:val="single" w:sz="8" w:space="0" w:color="000000"/>
              <w:right w:val="single" w:sz="8" w:space="0" w:color="000000"/>
            </w:tcBorders>
            <w:tcMar>
              <w:left w:w="70" w:type="dxa"/>
              <w:right w:w="70" w:type="dxa"/>
            </w:tcMar>
            <w:vAlign w:val="center"/>
          </w:tcPr>
          <w:p w14:paraId="2FC13356"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922971" w14:paraId="33A05C7E" w14:textId="77777777" w:rsidTr="00162F05">
        <w:trPr>
          <w:trHeight w:val="300"/>
        </w:trPr>
        <w:tc>
          <w:tcPr>
            <w:tcW w:w="1215" w:type="dxa"/>
            <w:gridSpan w:val="2"/>
            <w:tcBorders>
              <w:top w:val="single" w:sz="8" w:space="0" w:color="000000"/>
              <w:left w:val="single" w:sz="8" w:space="0" w:color="000000"/>
              <w:bottom w:val="single" w:sz="4" w:space="0" w:color="000000"/>
              <w:right w:val="single" w:sz="4" w:space="0" w:color="000000"/>
            </w:tcBorders>
            <w:tcMar>
              <w:left w:w="70" w:type="dxa"/>
              <w:right w:w="70" w:type="dxa"/>
            </w:tcMar>
          </w:tcPr>
          <w:p w14:paraId="72B3181A"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B-305</w:t>
            </w:r>
          </w:p>
        </w:tc>
        <w:tc>
          <w:tcPr>
            <w:tcW w:w="3150" w:type="dxa"/>
            <w:gridSpan w:val="2"/>
            <w:tcBorders>
              <w:top w:val="single" w:sz="8" w:space="0" w:color="000000"/>
              <w:left w:val="single" w:sz="4" w:space="0" w:color="000000"/>
              <w:bottom w:val="single" w:sz="4" w:space="0" w:color="000000"/>
              <w:right w:val="single" w:sz="4" w:space="0" w:color="000000"/>
            </w:tcBorders>
            <w:tcMar>
              <w:left w:w="70" w:type="dxa"/>
              <w:right w:w="70" w:type="dxa"/>
            </w:tcMar>
          </w:tcPr>
          <w:p w14:paraId="5BB08F2F" w14:textId="77777777" w:rsidR="00922971" w:rsidRDefault="00922971" w:rsidP="00162F05">
            <w:pPr>
              <w:ind w:hanging="2"/>
              <w:rPr>
                <w:rFonts w:ascii="Calibri" w:eastAsia="Calibri" w:hAnsi="Calibri" w:cs="Calibri"/>
                <w:sz w:val="22"/>
                <w:szCs w:val="22"/>
              </w:rPr>
            </w:pPr>
            <w:r w:rsidRPr="006F5DDF">
              <w:rPr>
                <w:rFonts w:ascii="Calibri" w:eastAsia="Calibri" w:hAnsi="Calibri" w:cs="Calibri"/>
                <w:color w:val="000000"/>
                <w:sz w:val="22"/>
                <w:szCs w:val="22"/>
              </w:rPr>
              <w:t>Laboratorio de Docencia y Extensión en Mecatrónica</w:t>
            </w:r>
          </w:p>
        </w:tc>
        <w:tc>
          <w:tcPr>
            <w:tcW w:w="1125" w:type="dxa"/>
            <w:tcBorders>
              <w:top w:val="single" w:sz="8" w:space="0" w:color="000000"/>
              <w:left w:val="single" w:sz="4" w:space="0" w:color="000000"/>
              <w:bottom w:val="single" w:sz="4" w:space="0" w:color="000000"/>
              <w:right w:val="single" w:sz="4" w:space="0" w:color="000000"/>
            </w:tcBorders>
            <w:shd w:val="clear" w:color="auto" w:fill="auto"/>
            <w:tcMar>
              <w:left w:w="70" w:type="dxa"/>
              <w:right w:w="70" w:type="dxa"/>
            </w:tcMar>
          </w:tcPr>
          <w:p w14:paraId="1F71F417"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8" w:space="0" w:color="000000"/>
              <w:left w:val="single" w:sz="4" w:space="0" w:color="000000"/>
              <w:bottom w:val="single" w:sz="4" w:space="0" w:color="000000"/>
              <w:right w:val="single" w:sz="8" w:space="0" w:color="000000"/>
            </w:tcBorders>
            <w:tcMar>
              <w:left w:w="70" w:type="dxa"/>
              <w:right w:w="70" w:type="dxa"/>
            </w:tcMar>
          </w:tcPr>
          <w:p w14:paraId="71ADCD0D"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30</w:t>
            </w:r>
          </w:p>
        </w:tc>
      </w:tr>
      <w:tr w:rsidR="00922971" w14:paraId="448EEC0F"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2A090F7D"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B-307</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38A3ED5A" w14:textId="77777777" w:rsidR="00922971" w:rsidRDefault="00922971" w:rsidP="00162F05">
            <w:pPr>
              <w:ind w:hanging="2"/>
              <w:rPr>
                <w:rFonts w:ascii="Calibri" w:eastAsia="Calibri" w:hAnsi="Calibri" w:cs="Calibri"/>
                <w:sz w:val="22"/>
                <w:szCs w:val="22"/>
              </w:rPr>
            </w:pPr>
            <w:r w:rsidRPr="006F5DDF">
              <w:rPr>
                <w:rFonts w:ascii="Calibri" w:eastAsia="Calibri" w:hAnsi="Calibri" w:cs="Calibri"/>
                <w:color w:val="000000"/>
                <w:sz w:val="22"/>
                <w:szCs w:val="22"/>
              </w:rPr>
              <w:t>Laboratorio de Docencia y Extensión en Mecatrónica</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03D55F5B"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2BB7C861"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28</w:t>
            </w:r>
          </w:p>
        </w:tc>
      </w:tr>
      <w:tr w:rsidR="00922971" w14:paraId="6823B340"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3A02C57B"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U-217  </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175EC4D8" w14:textId="77777777" w:rsidR="00922971" w:rsidRDefault="00922971" w:rsidP="00162F05">
            <w:pPr>
              <w:ind w:hanging="2"/>
              <w:rPr>
                <w:rFonts w:ascii="Calibri" w:eastAsia="Calibri" w:hAnsi="Calibri" w:cs="Calibri"/>
                <w:sz w:val="22"/>
                <w:szCs w:val="22"/>
              </w:rPr>
            </w:pPr>
            <w:r w:rsidRPr="00334036">
              <w:rPr>
                <w:rFonts w:ascii="Calibri" w:eastAsia="Calibri" w:hAnsi="Calibri" w:cs="Calibri"/>
                <w:color w:val="000000"/>
                <w:sz w:val="22"/>
                <w:szCs w:val="22"/>
              </w:rPr>
              <w:t>Laboratorio de Docencia e Investigación en Automatización y Control</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29B25F0C"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3AF51B43"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35</w:t>
            </w:r>
          </w:p>
        </w:tc>
      </w:tr>
      <w:tr w:rsidR="00922971" w14:paraId="3DABC15E"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3CA09D41" w14:textId="77777777" w:rsidR="00922971" w:rsidRDefault="00922971" w:rsidP="00162F05">
            <w:pPr>
              <w:ind w:hanging="2"/>
              <w:rPr>
                <w:rFonts w:ascii="Calibri" w:eastAsia="Calibri" w:hAnsi="Calibri" w:cs="Calibri"/>
                <w:color w:val="000000"/>
                <w:sz w:val="22"/>
                <w:szCs w:val="22"/>
              </w:rPr>
            </w:pPr>
            <w:r>
              <w:rPr>
                <w:rFonts w:ascii="Calibri" w:eastAsia="Calibri" w:hAnsi="Calibri" w:cs="Calibri"/>
                <w:color w:val="000000"/>
                <w:sz w:val="22"/>
                <w:szCs w:val="22"/>
              </w:rPr>
              <w:t>MT-101</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78BD9BE1" w14:textId="77777777" w:rsidR="00922971" w:rsidRPr="00334036" w:rsidRDefault="00922971" w:rsidP="00162F05">
            <w:pPr>
              <w:ind w:hanging="2"/>
              <w:rPr>
                <w:rFonts w:ascii="Calibri" w:eastAsia="Calibri" w:hAnsi="Calibri" w:cs="Calibri"/>
                <w:color w:val="000000"/>
                <w:sz w:val="22"/>
                <w:szCs w:val="22"/>
              </w:rPr>
            </w:pPr>
            <w:r w:rsidRPr="00A90BB5">
              <w:rPr>
                <w:rFonts w:ascii="Calibri" w:eastAsia="Calibri" w:hAnsi="Calibri" w:cs="Calibri"/>
                <w:color w:val="000000"/>
                <w:sz w:val="22"/>
                <w:szCs w:val="22"/>
              </w:rPr>
              <w:t>Laboratorio de Docencia, Investigación y Control en Prototipado y Mecanizado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1D11FBB4" w14:textId="77777777" w:rsidR="00922971" w:rsidRDefault="00922971" w:rsidP="00162F05">
            <w:pPr>
              <w:ind w:hanging="2"/>
              <w:rPr>
                <w:rFonts w:ascii="Calibri" w:eastAsia="Calibri" w:hAnsi="Calibri" w:cs="Calibri"/>
                <w:color w:val="000000"/>
                <w:sz w:val="22"/>
                <w:szCs w:val="22"/>
              </w:rPr>
            </w:pP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55F1F0B2" w14:textId="77777777" w:rsidR="00922971" w:rsidRDefault="00922971" w:rsidP="00162F05">
            <w:pPr>
              <w:ind w:hanging="2"/>
              <w:jc w:val="center"/>
              <w:rPr>
                <w:rFonts w:ascii="Calibri" w:eastAsia="Calibri" w:hAnsi="Calibri" w:cs="Calibri"/>
                <w:color w:val="000000"/>
                <w:sz w:val="22"/>
                <w:szCs w:val="22"/>
              </w:rPr>
            </w:pPr>
          </w:p>
        </w:tc>
      </w:tr>
      <w:tr w:rsidR="00922971" w14:paraId="5FADC803"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012611C9"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U-102 </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2C850F4F"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SALA INTELIGENTE</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07A90187"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79AC3D04"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25</w:t>
            </w:r>
          </w:p>
        </w:tc>
      </w:tr>
      <w:tr w:rsidR="00922971" w14:paraId="44DD7D66"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28DEFF92"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0DFF4DC6"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SALA SIG</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16574E38"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2E60710B"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18</w:t>
            </w:r>
          </w:p>
        </w:tc>
      </w:tr>
      <w:tr w:rsidR="00922971" w14:paraId="21368F91" w14:textId="77777777" w:rsidTr="00162F05">
        <w:trPr>
          <w:trHeight w:val="300"/>
        </w:trPr>
        <w:tc>
          <w:tcPr>
            <w:tcW w:w="1215" w:type="dxa"/>
            <w:gridSpan w:val="2"/>
            <w:tcBorders>
              <w:top w:val="single" w:sz="4" w:space="0" w:color="000000"/>
              <w:left w:val="single" w:sz="8" w:space="0" w:color="000000"/>
              <w:bottom w:val="single" w:sz="4" w:space="0" w:color="000000"/>
              <w:right w:val="single" w:sz="4" w:space="0" w:color="000000"/>
            </w:tcBorders>
            <w:tcMar>
              <w:left w:w="70" w:type="dxa"/>
              <w:right w:w="70" w:type="dxa"/>
            </w:tcMar>
          </w:tcPr>
          <w:p w14:paraId="00209A0F"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7DC2E96B"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TALLER DE MECATRÓNICA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3981A203"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4" w:space="0" w:color="000000"/>
              <w:right w:val="single" w:sz="8" w:space="0" w:color="000000"/>
            </w:tcBorders>
            <w:tcMar>
              <w:left w:w="70" w:type="dxa"/>
              <w:right w:w="70" w:type="dxa"/>
            </w:tcMar>
          </w:tcPr>
          <w:p w14:paraId="3D3123C8"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38</w:t>
            </w:r>
          </w:p>
        </w:tc>
      </w:tr>
      <w:tr w:rsidR="00922971" w14:paraId="457FAF00" w14:textId="77777777" w:rsidTr="00162F05">
        <w:trPr>
          <w:trHeight w:val="315"/>
        </w:trPr>
        <w:tc>
          <w:tcPr>
            <w:tcW w:w="1215" w:type="dxa"/>
            <w:gridSpan w:val="2"/>
            <w:tcBorders>
              <w:top w:val="single" w:sz="4" w:space="0" w:color="000000"/>
              <w:left w:val="single" w:sz="8" w:space="0" w:color="000000"/>
              <w:bottom w:val="single" w:sz="8" w:space="0" w:color="000000"/>
              <w:right w:val="single" w:sz="4" w:space="0" w:color="000000"/>
            </w:tcBorders>
            <w:tcMar>
              <w:left w:w="70" w:type="dxa"/>
              <w:right w:w="70" w:type="dxa"/>
            </w:tcMar>
          </w:tcPr>
          <w:p w14:paraId="452E7455"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 </w:t>
            </w:r>
          </w:p>
        </w:tc>
        <w:tc>
          <w:tcPr>
            <w:tcW w:w="3150" w:type="dxa"/>
            <w:gridSpan w:val="2"/>
            <w:tcBorders>
              <w:top w:val="single" w:sz="4" w:space="0" w:color="000000"/>
              <w:left w:val="single" w:sz="4" w:space="0" w:color="000000"/>
              <w:bottom w:val="single" w:sz="8" w:space="0" w:color="000000"/>
              <w:right w:val="single" w:sz="4" w:space="0" w:color="000000"/>
            </w:tcBorders>
            <w:tcMar>
              <w:left w:w="70" w:type="dxa"/>
              <w:right w:w="70" w:type="dxa"/>
            </w:tcMar>
          </w:tcPr>
          <w:p w14:paraId="2231C5BC"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TALLER DE MÁQUINAS </w:t>
            </w:r>
          </w:p>
        </w:tc>
        <w:tc>
          <w:tcPr>
            <w:tcW w:w="1125" w:type="dxa"/>
            <w:tcBorders>
              <w:top w:val="single" w:sz="4" w:space="0" w:color="000000"/>
              <w:left w:val="single" w:sz="4" w:space="0" w:color="000000"/>
              <w:bottom w:val="single" w:sz="8" w:space="0" w:color="000000"/>
              <w:right w:val="single" w:sz="4" w:space="0" w:color="000000"/>
            </w:tcBorders>
            <w:shd w:val="clear" w:color="auto" w:fill="auto"/>
            <w:tcMar>
              <w:left w:w="70" w:type="dxa"/>
              <w:right w:w="70" w:type="dxa"/>
            </w:tcMar>
          </w:tcPr>
          <w:p w14:paraId="6A7B8381"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CENTRAL</w:t>
            </w:r>
          </w:p>
        </w:tc>
        <w:tc>
          <w:tcPr>
            <w:tcW w:w="1155" w:type="dxa"/>
            <w:gridSpan w:val="2"/>
            <w:tcBorders>
              <w:top w:val="single" w:sz="4" w:space="0" w:color="000000"/>
              <w:left w:val="single" w:sz="4" w:space="0" w:color="000000"/>
              <w:bottom w:val="single" w:sz="8" w:space="0" w:color="000000"/>
              <w:right w:val="single" w:sz="8" w:space="0" w:color="000000"/>
            </w:tcBorders>
            <w:tcMar>
              <w:left w:w="70" w:type="dxa"/>
              <w:right w:w="70" w:type="dxa"/>
            </w:tcMar>
          </w:tcPr>
          <w:p w14:paraId="1F70CD46"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16</w:t>
            </w:r>
          </w:p>
        </w:tc>
      </w:tr>
      <w:tr w:rsidR="00922971" w14:paraId="6EA39231"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15"/>
        </w:trPr>
        <w:tc>
          <w:tcPr>
            <w:tcW w:w="984" w:type="dxa"/>
            <w:tcBorders>
              <w:top w:val="single" w:sz="8" w:space="0" w:color="000000"/>
              <w:left w:val="single" w:sz="8" w:space="0" w:color="000000"/>
              <w:bottom w:val="single" w:sz="4" w:space="0" w:color="000000"/>
              <w:right w:val="single" w:sz="4" w:space="0" w:color="000000"/>
            </w:tcBorders>
            <w:tcMar>
              <w:top w:w="0" w:type="dxa"/>
              <w:left w:w="70" w:type="dxa"/>
              <w:bottom w:w="0" w:type="dxa"/>
              <w:right w:w="70" w:type="dxa"/>
            </w:tcMar>
          </w:tcPr>
          <w:p w14:paraId="4E697229" w14:textId="77777777" w:rsidR="00922971" w:rsidRDefault="00922971" w:rsidP="00162F05">
            <w:pPr>
              <w:ind w:hanging="2"/>
              <w:rPr>
                <w:sz w:val="24"/>
                <w:szCs w:val="24"/>
              </w:rPr>
            </w:pPr>
            <w:bookmarkStart w:id="1" w:name="_heading=h.3znysh7" w:colFirst="0" w:colLast="0"/>
            <w:bookmarkEnd w:id="1"/>
            <w:r>
              <w:rPr>
                <w:rFonts w:ascii="Calibri" w:eastAsia="Calibri" w:hAnsi="Calibri" w:cs="Calibri"/>
                <w:b/>
              </w:rPr>
              <w:t>cantidad </w:t>
            </w:r>
          </w:p>
        </w:tc>
        <w:tc>
          <w:tcPr>
            <w:tcW w:w="1928" w:type="dxa"/>
            <w:gridSpan w:val="2"/>
            <w:tcBorders>
              <w:top w:val="single" w:sz="8" w:space="0" w:color="000000"/>
              <w:left w:val="single" w:sz="4" w:space="0" w:color="000000"/>
              <w:bottom w:val="single" w:sz="4" w:space="0" w:color="000000"/>
              <w:right w:val="single" w:sz="4" w:space="0" w:color="000000"/>
            </w:tcBorders>
            <w:tcMar>
              <w:top w:w="0" w:type="dxa"/>
              <w:left w:w="70" w:type="dxa"/>
              <w:bottom w:w="0" w:type="dxa"/>
              <w:right w:w="70" w:type="dxa"/>
            </w:tcMar>
          </w:tcPr>
          <w:p w14:paraId="3E4D5C98" w14:textId="77777777" w:rsidR="00922971" w:rsidRDefault="00922971" w:rsidP="00162F05">
            <w:pPr>
              <w:ind w:hanging="2"/>
              <w:rPr>
                <w:sz w:val="24"/>
                <w:szCs w:val="24"/>
              </w:rPr>
            </w:pPr>
            <w:r>
              <w:rPr>
                <w:rFonts w:ascii="Calibri" w:eastAsia="Calibri" w:hAnsi="Calibri" w:cs="Calibri"/>
                <w:b/>
              </w:rPr>
              <w:t xml:space="preserve">capacidad del </w:t>
            </w:r>
            <w:proofErr w:type="spellStart"/>
            <w:r>
              <w:rPr>
                <w:rFonts w:ascii="Calibri" w:eastAsia="Calibri" w:hAnsi="Calibri" w:cs="Calibri"/>
                <w:b/>
              </w:rPr>
              <w:t>salon</w:t>
            </w:r>
            <w:proofErr w:type="spellEnd"/>
          </w:p>
        </w:tc>
        <w:tc>
          <w:tcPr>
            <w:tcW w:w="2746" w:type="dxa"/>
            <w:gridSpan w:val="3"/>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38E61AEC" w14:textId="77777777" w:rsidR="00922971" w:rsidRDefault="00922971" w:rsidP="00162F05">
            <w:pPr>
              <w:ind w:hanging="2"/>
              <w:rPr>
                <w:sz w:val="24"/>
                <w:szCs w:val="24"/>
              </w:rPr>
            </w:pPr>
            <w:proofErr w:type="spellStart"/>
            <w:r>
              <w:rPr>
                <w:rFonts w:ascii="Calibri" w:eastAsia="Calibri" w:hAnsi="Calibri" w:cs="Calibri"/>
                <w:b/>
              </w:rPr>
              <w:t>salon</w:t>
            </w:r>
            <w:proofErr w:type="spellEnd"/>
            <w:r>
              <w:rPr>
                <w:rFonts w:ascii="Calibri" w:eastAsia="Calibri" w:hAnsi="Calibri" w:cs="Calibri"/>
                <w:b/>
              </w:rPr>
              <w:t> </w:t>
            </w:r>
          </w:p>
        </w:tc>
      </w:tr>
      <w:tr w:rsidR="00922971" w14:paraId="59923D5D"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42C666D" w14:textId="77777777" w:rsidR="00922971" w:rsidRDefault="00922971" w:rsidP="00162F05">
            <w:pPr>
              <w:ind w:hanging="2"/>
              <w:jc w:val="center"/>
              <w:rPr>
                <w:sz w:val="24"/>
                <w:szCs w:val="24"/>
              </w:rPr>
            </w:pPr>
            <w:r>
              <w:rPr>
                <w:rFonts w:ascii="Calibri" w:eastAsia="Calibri" w:hAnsi="Calibri" w:cs="Calibri"/>
              </w:rPr>
              <w:t>2</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622A8F" w14:textId="77777777" w:rsidR="00922971" w:rsidRDefault="00922971" w:rsidP="00162F05">
            <w:pPr>
              <w:ind w:hanging="2"/>
              <w:jc w:val="center"/>
              <w:rPr>
                <w:sz w:val="24"/>
                <w:szCs w:val="24"/>
              </w:rPr>
            </w:pPr>
            <w:r>
              <w:rPr>
                <w:rFonts w:ascii="Calibri" w:eastAsia="Calibri" w:hAnsi="Calibri" w:cs="Calibri"/>
              </w:rPr>
              <w:t>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F0763F2" w14:textId="77777777" w:rsidR="00922971" w:rsidRDefault="00922971" w:rsidP="00162F05">
            <w:pPr>
              <w:ind w:hanging="2"/>
              <w:rPr>
                <w:sz w:val="24"/>
                <w:szCs w:val="24"/>
              </w:rPr>
            </w:pPr>
            <w:r>
              <w:rPr>
                <w:rFonts w:ascii="Calibri" w:eastAsia="Calibri" w:hAnsi="Calibri" w:cs="Calibri"/>
              </w:rPr>
              <w:t>U-105 BICENTENARIO</w:t>
            </w:r>
          </w:p>
        </w:tc>
      </w:tr>
      <w:tr w:rsidR="00922971" w14:paraId="23653177"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A48FBC4"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F6605"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729A329" w14:textId="77777777" w:rsidR="00922971" w:rsidRDefault="00922971" w:rsidP="00162F05">
            <w:pPr>
              <w:ind w:hanging="2"/>
              <w:rPr>
                <w:sz w:val="24"/>
                <w:szCs w:val="24"/>
              </w:rPr>
            </w:pPr>
            <w:r>
              <w:rPr>
                <w:rFonts w:ascii="Calibri" w:eastAsia="Calibri" w:hAnsi="Calibri" w:cs="Calibri"/>
              </w:rPr>
              <w:t>U-228 BICENTENARIO</w:t>
            </w:r>
          </w:p>
        </w:tc>
      </w:tr>
      <w:tr w:rsidR="00922971" w14:paraId="7A43DD25"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7C276656" w14:textId="77777777" w:rsidR="00922971" w:rsidRDefault="00922971" w:rsidP="00162F05">
            <w:pPr>
              <w:ind w:hanging="2"/>
              <w:jc w:val="center"/>
              <w:rPr>
                <w:sz w:val="24"/>
                <w:szCs w:val="24"/>
              </w:rPr>
            </w:pPr>
            <w:r>
              <w:rPr>
                <w:rFonts w:ascii="Calibri" w:eastAsia="Calibri" w:hAnsi="Calibri" w:cs="Calibri"/>
              </w:rPr>
              <w:t>8</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8DF5B8" w14:textId="77777777" w:rsidR="00922971" w:rsidRDefault="00922971" w:rsidP="00162F05">
            <w:pPr>
              <w:ind w:hanging="2"/>
              <w:jc w:val="center"/>
              <w:rPr>
                <w:sz w:val="24"/>
                <w:szCs w:val="24"/>
              </w:rPr>
            </w:pPr>
            <w:r>
              <w:rPr>
                <w:rFonts w:ascii="Calibri" w:eastAsia="Calibri" w:hAnsi="Calibri" w:cs="Calibri"/>
              </w:rPr>
              <w:t>40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7184CB6" w14:textId="77777777" w:rsidR="00922971" w:rsidRDefault="00922971" w:rsidP="00162F05">
            <w:pPr>
              <w:ind w:hanging="2"/>
              <w:rPr>
                <w:sz w:val="24"/>
                <w:szCs w:val="24"/>
              </w:rPr>
            </w:pPr>
            <w:r>
              <w:rPr>
                <w:rFonts w:ascii="Calibri" w:eastAsia="Calibri" w:hAnsi="Calibri" w:cs="Calibri"/>
              </w:rPr>
              <w:t>D-106 EDIF DEL PARQUE</w:t>
            </w:r>
          </w:p>
        </w:tc>
      </w:tr>
      <w:tr w:rsidR="00922971" w14:paraId="10940F7B"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887DE89"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0FE9E"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CE4CCDE" w14:textId="77777777" w:rsidR="00922971" w:rsidRDefault="00922971" w:rsidP="00162F05">
            <w:pPr>
              <w:ind w:hanging="2"/>
              <w:rPr>
                <w:sz w:val="24"/>
                <w:szCs w:val="24"/>
              </w:rPr>
            </w:pPr>
            <w:r>
              <w:rPr>
                <w:rFonts w:ascii="Calibri" w:eastAsia="Calibri" w:hAnsi="Calibri" w:cs="Calibri"/>
              </w:rPr>
              <w:t>D-111 EDIF DEL PARQUE</w:t>
            </w:r>
          </w:p>
        </w:tc>
      </w:tr>
      <w:tr w:rsidR="00922971" w14:paraId="365D73F2"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B22A951"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654C8"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2AF33A8" w14:textId="77777777" w:rsidR="00922971" w:rsidRDefault="00922971" w:rsidP="00162F05">
            <w:pPr>
              <w:ind w:hanging="2"/>
              <w:rPr>
                <w:sz w:val="24"/>
                <w:szCs w:val="24"/>
              </w:rPr>
            </w:pPr>
            <w:r>
              <w:rPr>
                <w:rFonts w:ascii="Calibri" w:eastAsia="Calibri" w:hAnsi="Calibri" w:cs="Calibri"/>
              </w:rPr>
              <w:t>U-118 BICENTENARIO</w:t>
            </w:r>
          </w:p>
        </w:tc>
      </w:tr>
      <w:tr w:rsidR="00922971" w14:paraId="44C6C515"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3A35E26E"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3C75CB"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A7FD2CC" w14:textId="77777777" w:rsidR="00922971" w:rsidRDefault="00922971" w:rsidP="00162F05">
            <w:pPr>
              <w:ind w:hanging="2"/>
              <w:rPr>
                <w:sz w:val="24"/>
                <w:szCs w:val="24"/>
              </w:rPr>
            </w:pPr>
            <w:r>
              <w:rPr>
                <w:rFonts w:ascii="Calibri" w:eastAsia="Calibri" w:hAnsi="Calibri" w:cs="Calibri"/>
              </w:rPr>
              <w:t>U-134 BICENTENARIO</w:t>
            </w:r>
          </w:p>
        </w:tc>
      </w:tr>
      <w:tr w:rsidR="00922971" w14:paraId="748D8F9E"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883A2D4"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0A5D96"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1B4EA4E" w14:textId="77777777" w:rsidR="00922971" w:rsidRDefault="00922971" w:rsidP="00162F05">
            <w:pPr>
              <w:ind w:hanging="2"/>
              <w:rPr>
                <w:sz w:val="24"/>
                <w:szCs w:val="24"/>
              </w:rPr>
            </w:pPr>
            <w:r>
              <w:rPr>
                <w:rFonts w:ascii="Calibri" w:eastAsia="Calibri" w:hAnsi="Calibri" w:cs="Calibri"/>
              </w:rPr>
              <w:t>U-203 BICENTENARIO</w:t>
            </w:r>
          </w:p>
        </w:tc>
      </w:tr>
      <w:tr w:rsidR="00922971" w14:paraId="40536D48"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75CBA611"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AEDC2E"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F4189E1" w14:textId="77777777" w:rsidR="00922971" w:rsidRDefault="00922971" w:rsidP="00162F05">
            <w:pPr>
              <w:ind w:hanging="2"/>
              <w:rPr>
                <w:sz w:val="24"/>
                <w:szCs w:val="24"/>
              </w:rPr>
            </w:pPr>
            <w:r>
              <w:rPr>
                <w:rFonts w:ascii="Calibri" w:eastAsia="Calibri" w:hAnsi="Calibri" w:cs="Calibri"/>
              </w:rPr>
              <w:t>U-218 BICENTENARIO</w:t>
            </w:r>
          </w:p>
        </w:tc>
      </w:tr>
      <w:tr w:rsidR="00922971" w14:paraId="07AB12BE"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5B943666" w14:textId="77777777" w:rsidR="00922971" w:rsidRDefault="00922971" w:rsidP="00162F05">
            <w:pPr>
              <w:ind w:hanging="2"/>
              <w:jc w:val="center"/>
              <w:rPr>
                <w:sz w:val="24"/>
                <w:szCs w:val="24"/>
              </w:rPr>
            </w:pPr>
            <w:r>
              <w:rPr>
                <w:rFonts w:ascii="Calibri" w:eastAsia="Calibri" w:hAnsi="Calibri" w:cs="Calibri"/>
              </w:rPr>
              <w:lastRenderedPageBreak/>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F7DFB0"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34D4DB6" w14:textId="77777777" w:rsidR="00922971" w:rsidRDefault="00922971" w:rsidP="00162F05">
            <w:pPr>
              <w:ind w:hanging="2"/>
              <w:rPr>
                <w:sz w:val="24"/>
                <w:szCs w:val="24"/>
              </w:rPr>
            </w:pPr>
            <w:r>
              <w:rPr>
                <w:rFonts w:ascii="Calibri" w:eastAsia="Calibri" w:hAnsi="Calibri" w:cs="Calibri"/>
              </w:rPr>
              <w:t>U-219 BICENTENARIO</w:t>
            </w:r>
          </w:p>
        </w:tc>
      </w:tr>
      <w:tr w:rsidR="00922971" w14:paraId="25086E18"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48FAAB69"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8EB150"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4351F8F" w14:textId="77777777" w:rsidR="00922971" w:rsidRDefault="00922971" w:rsidP="00162F05">
            <w:pPr>
              <w:ind w:hanging="2"/>
              <w:rPr>
                <w:sz w:val="24"/>
                <w:szCs w:val="24"/>
              </w:rPr>
            </w:pPr>
            <w:r>
              <w:rPr>
                <w:rFonts w:ascii="Calibri" w:eastAsia="Calibri" w:hAnsi="Calibri" w:cs="Calibri"/>
              </w:rPr>
              <w:t>U-231 BICENTENARIO</w:t>
            </w:r>
          </w:p>
        </w:tc>
      </w:tr>
      <w:tr w:rsidR="00922971" w14:paraId="0FC2AD4A"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15"/>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4F744A96" w14:textId="77777777" w:rsidR="00922971" w:rsidRDefault="00922971" w:rsidP="00162F05">
            <w:pPr>
              <w:ind w:hanging="2"/>
              <w:jc w:val="center"/>
              <w:rPr>
                <w:sz w:val="24"/>
                <w:szCs w:val="24"/>
              </w:rPr>
            </w:pPr>
            <w:r>
              <w:rPr>
                <w:rFonts w:ascii="Calibri" w:eastAsia="Calibri" w:hAnsi="Calibri" w:cs="Calibri"/>
              </w:rPr>
              <w:t>2</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5E3B5A" w14:textId="77777777" w:rsidR="00922971" w:rsidRDefault="00922971" w:rsidP="00162F05">
            <w:pPr>
              <w:ind w:hanging="2"/>
              <w:jc w:val="center"/>
              <w:rPr>
                <w:sz w:val="24"/>
                <w:szCs w:val="24"/>
              </w:rPr>
            </w:pPr>
            <w:r>
              <w:rPr>
                <w:rFonts w:ascii="Calibri" w:eastAsia="Calibri" w:hAnsi="Calibri" w:cs="Calibri"/>
              </w:rPr>
              <w:t>45</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917C3E3" w14:textId="77777777" w:rsidR="00922971" w:rsidRDefault="00922971" w:rsidP="00162F05">
            <w:pPr>
              <w:ind w:hanging="2"/>
              <w:rPr>
                <w:sz w:val="24"/>
                <w:szCs w:val="24"/>
              </w:rPr>
            </w:pPr>
            <w:r>
              <w:rPr>
                <w:rFonts w:ascii="Calibri" w:eastAsia="Calibri" w:hAnsi="Calibri" w:cs="Calibri"/>
              </w:rPr>
              <w:t>D-107 EDIF DEL PARQUE</w:t>
            </w:r>
          </w:p>
        </w:tc>
      </w:tr>
      <w:tr w:rsidR="00922971" w14:paraId="30C2B0E5"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3A7EB0D9"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33AD1" w14:textId="77777777" w:rsidR="00922971" w:rsidRDefault="00922971" w:rsidP="00162F05">
            <w:pPr>
              <w:ind w:hanging="2"/>
              <w:jc w:val="center"/>
              <w:rPr>
                <w:sz w:val="24"/>
                <w:szCs w:val="24"/>
              </w:rPr>
            </w:pPr>
            <w:r>
              <w:rPr>
                <w:rFonts w:ascii="Calibri" w:eastAsia="Calibri" w:hAnsi="Calibri" w:cs="Calibri"/>
              </w:rPr>
              <w:t> 23</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904306D" w14:textId="77777777" w:rsidR="00922971" w:rsidRDefault="00922971" w:rsidP="00162F05">
            <w:pPr>
              <w:ind w:hanging="2"/>
              <w:rPr>
                <w:sz w:val="24"/>
                <w:szCs w:val="24"/>
              </w:rPr>
            </w:pPr>
            <w:r>
              <w:rPr>
                <w:rFonts w:ascii="Calibri" w:eastAsia="Calibri" w:hAnsi="Calibri" w:cs="Calibri"/>
              </w:rPr>
              <w:t>U-233 BICENTENARIO</w:t>
            </w:r>
          </w:p>
        </w:tc>
      </w:tr>
      <w:tr w:rsidR="00922971" w14:paraId="6BC28E1C"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38091F3A" w14:textId="77777777" w:rsidR="00922971" w:rsidRDefault="00922971" w:rsidP="00162F05">
            <w:pPr>
              <w:ind w:hanging="2"/>
              <w:jc w:val="center"/>
              <w:rPr>
                <w:sz w:val="24"/>
                <w:szCs w:val="24"/>
              </w:rPr>
            </w:pPr>
            <w:r>
              <w:rPr>
                <w:rFonts w:ascii="Calibri" w:eastAsia="Calibri" w:hAnsi="Calibri" w:cs="Calibri"/>
              </w:rPr>
              <w:t>6</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FCC56" w14:textId="77777777" w:rsidR="00922971" w:rsidRDefault="00922971" w:rsidP="00162F05">
            <w:pPr>
              <w:ind w:hanging="2"/>
              <w:jc w:val="center"/>
              <w:rPr>
                <w:sz w:val="24"/>
                <w:szCs w:val="24"/>
              </w:rPr>
            </w:pPr>
            <w:r>
              <w:rPr>
                <w:rFonts w:ascii="Calibri" w:eastAsia="Calibri" w:hAnsi="Calibri" w:cs="Calibri"/>
              </w:rPr>
              <w:t>50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04ED809" w14:textId="77777777" w:rsidR="00922971" w:rsidRDefault="00922971" w:rsidP="00162F05">
            <w:pPr>
              <w:ind w:hanging="2"/>
              <w:rPr>
                <w:sz w:val="24"/>
                <w:szCs w:val="24"/>
              </w:rPr>
            </w:pPr>
            <w:r>
              <w:rPr>
                <w:rFonts w:ascii="Calibri" w:eastAsia="Calibri" w:hAnsi="Calibri" w:cs="Calibri"/>
              </w:rPr>
              <w:t>C-208 EDIF ORLANDO SIERRA</w:t>
            </w:r>
          </w:p>
        </w:tc>
      </w:tr>
      <w:tr w:rsidR="00922971" w14:paraId="1C8A85A8"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1D2B4E5"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728CA2"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489FBB7" w14:textId="77777777" w:rsidR="00922971" w:rsidRDefault="00922971" w:rsidP="00162F05">
            <w:pPr>
              <w:ind w:hanging="2"/>
              <w:rPr>
                <w:sz w:val="24"/>
                <w:szCs w:val="24"/>
              </w:rPr>
            </w:pPr>
            <w:r>
              <w:rPr>
                <w:rFonts w:ascii="Calibri" w:eastAsia="Calibri" w:hAnsi="Calibri" w:cs="Calibri"/>
              </w:rPr>
              <w:t>C-209 EDIF ORLANDO SIERRA</w:t>
            </w:r>
          </w:p>
        </w:tc>
      </w:tr>
      <w:tr w:rsidR="00922971" w14:paraId="4AC97B16"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09364046"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4C606D"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6A1BE267" w14:textId="77777777" w:rsidR="00922971" w:rsidRDefault="00922971" w:rsidP="00162F05">
            <w:pPr>
              <w:ind w:hanging="2"/>
              <w:rPr>
                <w:sz w:val="24"/>
                <w:szCs w:val="24"/>
              </w:rPr>
            </w:pPr>
            <w:r>
              <w:rPr>
                <w:rFonts w:ascii="Calibri" w:eastAsia="Calibri" w:hAnsi="Calibri" w:cs="Calibri"/>
              </w:rPr>
              <w:t>U-104 BICENTENARIO</w:t>
            </w:r>
          </w:p>
        </w:tc>
      </w:tr>
      <w:tr w:rsidR="00922971" w14:paraId="23555BF2"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2E83CEFD"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A88B24"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9EEA5A5" w14:textId="77777777" w:rsidR="00922971" w:rsidRDefault="00922971" w:rsidP="00162F05">
            <w:pPr>
              <w:ind w:hanging="2"/>
              <w:rPr>
                <w:sz w:val="24"/>
                <w:szCs w:val="24"/>
              </w:rPr>
            </w:pPr>
            <w:r>
              <w:rPr>
                <w:rFonts w:ascii="Calibri" w:eastAsia="Calibri" w:hAnsi="Calibri" w:cs="Calibri"/>
              </w:rPr>
              <w:t>U-106 BICENTENARIO</w:t>
            </w:r>
          </w:p>
        </w:tc>
      </w:tr>
      <w:tr w:rsidR="00922971" w14:paraId="0227ADF5"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00"/>
        </w:trPr>
        <w:tc>
          <w:tcPr>
            <w:tcW w:w="984" w:type="dxa"/>
            <w:tcBorders>
              <w:top w:val="single" w:sz="4" w:space="0" w:color="000000"/>
              <w:left w:val="single" w:sz="8" w:space="0" w:color="000000"/>
              <w:bottom w:val="single" w:sz="4" w:space="0" w:color="000000"/>
              <w:right w:val="single" w:sz="4" w:space="0" w:color="000000"/>
            </w:tcBorders>
            <w:tcMar>
              <w:top w:w="0" w:type="dxa"/>
              <w:left w:w="70" w:type="dxa"/>
              <w:bottom w:w="0" w:type="dxa"/>
              <w:right w:w="70" w:type="dxa"/>
            </w:tcMar>
          </w:tcPr>
          <w:p w14:paraId="1CB524D0"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52077E"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1F65500" w14:textId="77777777" w:rsidR="00922971" w:rsidRDefault="00922971" w:rsidP="00162F05">
            <w:pPr>
              <w:ind w:hanging="2"/>
              <w:rPr>
                <w:sz w:val="24"/>
                <w:szCs w:val="24"/>
              </w:rPr>
            </w:pPr>
            <w:r>
              <w:rPr>
                <w:rFonts w:ascii="Calibri" w:eastAsia="Calibri" w:hAnsi="Calibri" w:cs="Calibri"/>
              </w:rPr>
              <w:t>U-135 BICENTENARIO</w:t>
            </w:r>
          </w:p>
        </w:tc>
      </w:tr>
      <w:tr w:rsidR="00922971" w14:paraId="5CB21E0E" w14:textId="77777777" w:rsidTr="00162F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987" w:type="dxa"/>
          <w:trHeight w:val="315"/>
        </w:trPr>
        <w:tc>
          <w:tcPr>
            <w:tcW w:w="984" w:type="dxa"/>
            <w:tcBorders>
              <w:top w:val="single" w:sz="4" w:space="0" w:color="000000"/>
              <w:left w:val="single" w:sz="8" w:space="0" w:color="000000"/>
              <w:bottom w:val="single" w:sz="8" w:space="0" w:color="000000"/>
              <w:right w:val="single" w:sz="4" w:space="0" w:color="000000"/>
            </w:tcBorders>
            <w:tcMar>
              <w:top w:w="0" w:type="dxa"/>
              <w:left w:w="70" w:type="dxa"/>
              <w:bottom w:w="0" w:type="dxa"/>
              <w:right w:w="70" w:type="dxa"/>
            </w:tcMar>
          </w:tcPr>
          <w:p w14:paraId="47493205" w14:textId="77777777" w:rsidR="00922971" w:rsidRDefault="00922971" w:rsidP="00162F05">
            <w:pPr>
              <w:ind w:hanging="2"/>
              <w:jc w:val="center"/>
              <w:rPr>
                <w:sz w:val="24"/>
                <w:szCs w:val="24"/>
              </w:rPr>
            </w:pPr>
            <w:r>
              <w:rPr>
                <w:rFonts w:ascii="Calibri" w:eastAsia="Calibri" w:hAnsi="Calibri" w:cs="Calibri"/>
              </w:rPr>
              <w:t> </w:t>
            </w:r>
          </w:p>
        </w:tc>
        <w:tc>
          <w:tcPr>
            <w:tcW w:w="1928" w:type="dxa"/>
            <w:gridSpan w:val="2"/>
            <w:tcBorders>
              <w:top w:val="single" w:sz="4" w:space="0" w:color="000000"/>
              <w:left w:val="single" w:sz="4" w:space="0" w:color="000000"/>
              <w:bottom w:val="single" w:sz="8" w:space="0" w:color="000000"/>
              <w:right w:val="single" w:sz="4" w:space="0" w:color="000000"/>
            </w:tcBorders>
            <w:tcMar>
              <w:top w:w="0" w:type="dxa"/>
              <w:left w:w="70" w:type="dxa"/>
              <w:bottom w:w="0" w:type="dxa"/>
              <w:right w:w="70" w:type="dxa"/>
            </w:tcMar>
          </w:tcPr>
          <w:p w14:paraId="5E10D57D" w14:textId="77777777" w:rsidR="00922971" w:rsidRDefault="00922971" w:rsidP="00162F05">
            <w:pPr>
              <w:ind w:hanging="2"/>
              <w:jc w:val="center"/>
              <w:rPr>
                <w:sz w:val="24"/>
                <w:szCs w:val="24"/>
              </w:rPr>
            </w:pPr>
            <w:r>
              <w:rPr>
                <w:rFonts w:ascii="Calibri" w:eastAsia="Calibri" w:hAnsi="Calibri" w:cs="Calibri"/>
              </w:rPr>
              <w:t> 30</w:t>
            </w:r>
          </w:p>
        </w:tc>
        <w:tc>
          <w:tcPr>
            <w:tcW w:w="2746" w:type="dxa"/>
            <w:gridSpan w:val="3"/>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46DB0DED" w14:textId="77777777" w:rsidR="00922971" w:rsidRDefault="00922971" w:rsidP="00162F05">
            <w:pPr>
              <w:ind w:hanging="2"/>
              <w:rPr>
                <w:sz w:val="24"/>
                <w:szCs w:val="24"/>
              </w:rPr>
            </w:pPr>
            <w:r>
              <w:rPr>
                <w:rFonts w:ascii="Calibri" w:eastAsia="Calibri" w:hAnsi="Calibri" w:cs="Calibri"/>
              </w:rPr>
              <w:t>U-201 BICENTENARIO</w:t>
            </w:r>
          </w:p>
        </w:tc>
      </w:tr>
    </w:tbl>
    <w:p w14:paraId="3837DA93" w14:textId="77777777" w:rsidR="00922971" w:rsidRDefault="00922971" w:rsidP="00922971">
      <w:pPr>
        <w:ind w:hanging="2"/>
        <w:rPr>
          <w:sz w:val="24"/>
          <w:szCs w:val="24"/>
        </w:rPr>
      </w:pPr>
    </w:p>
    <w:tbl>
      <w:tblPr>
        <w:tblW w:w="3810" w:type="dxa"/>
        <w:tblInd w:w="-70" w:type="dxa"/>
        <w:tblLayout w:type="fixed"/>
        <w:tblLook w:val="0000" w:firstRow="0" w:lastRow="0" w:firstColumn="0" w:lastColumn="0" w:noHBand="0" w:noVBand="0"/>
      </w:tblPr>
      <w:tblGrid>
        <w:gridCol w:w="990"/>
        <w:gridCol w:w="2025"/>
        <w:gridCol w:w="795"/>
      </w:tblGrid>
      <w:tr w:rsidR="00922971" w14:paraId="5C26454D" w14:textId="77777777" w:rsidTr="00162F05">
        <w:trPr>
          <w:trHeight w:val="300"/>
        </w:trPr>
        <w:tc>
          <w:tcPr>
            <w:tcW w:w="990" w:type="dxa"/>
            <w:tcBorders>
              <w:top w:val="single" w:sz="8"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51C90AEC" w14:textId="77777777" w:rsidR="00922971" w:rsidRDefault="00922971" w:rsidP="00162F05">
            <w:pPr>
              <w:ind w:hanging="2"/>
              <w:rPr>
                <w:sz w:val="24"/>
                <w:szCs w:val="24"/>
              </w:rPr>
            </w:pPr>
            <w:r>
              <w:rPr>
                <w:rFonts w:ascii="Calibri" w:eastAsia="Calibri" w:hAnsi="Calibri" w:cs="Calibri"/>
                <w:b/>
              </w:rPr>
              <w:t>cantidad </w:t>
            </w:r>
          </w:p>
        </w:tc>
        <w:tc>
          <w:tcPr>
            <w:tcW w:w="2025" w:type="dxa"/>
            <w:tcBorders>
              <w:top w:val="single" w:sz="8"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B4F18D" w14:textId="77777777" w:rsidR="00922971" w:rsidRDefault="00922971" w:rsidP="00162F05">
            <w:pPr>
              <w:ind w:hanging="2"/>
              <w:rPr>
                <w:sz w:val="24"/>
                <w:szCs w:val="24"/>
              </w:rPr>
            </w:pPr>
            <w:r>
              <w:rPr>
                <w:rFonts w:ascii="Calibri" w:eastAsia="Calibri" w:hAnsi="Calibri" w:cs="Calibri"/>
                <w:b/>
              </w:rPr>
              <w:t>capacidad de la sala</w:t>
            </w:r>
          </w:p>
        </w:tc>
        <w:tc>
          <w:tcPr>
            <w:tcW w:w="795" w:type="dxa"/>
            <w:tcBorders>
              <w:top w:val="single" w:sz="8" w:space="0" w:color="000000"/>
              <w:left w:val="single" w:sz="4" w:space="0" w:color="000000"/>
              <w:bottom w:val="single" w:sz="4" w:space="0" w:color="000000"/>
              <w:right w:val="single" w:sz="8" w:space="0" w:color="000000"/>
            </w:tcBorders>
            <w:tcMar>
              <w:top w:w="0" w:type="dxa"/>
              <w:left w:w="70" w:type="dxa"/>
              <w:bottom w:w="0" w:type="dxa"/>
              <w:right w:w="70" w:type="dxa"/>
            </w:tcMar>
          </w:tcPr>
          <w:p w14:paraId="40A384B1" w14:textId="77777777" w:rsidR="00922971" w:rsidRDefault="00922971" w:rsidP="00162F05">
            <w:pPr>
              <w:ind w:hanging="2"/>
              <w:rPr>
                <w:sz w:val="24"/>
                <w:szCs w:val="24"/>
              </w:rPr>
            </w:pPr>
            <w:r>
              <w:rPr>
                <w:rFonts w:ascii="Calibri" w:eastAsia="Calibri" w:hAnsi="Calibri" w:cs="Calibri"/>
                <w:b/>
              </w:rPr>
              <w:t>SALA</w:t>
            </w:r>
          </w:p>
        </w:tc>
      </w:tr>
      <w:tr w:rsidR="00922971" w14:paraId="1D92E908"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433D945B" w14:textId="77777777" w:rsidR="00922971" w:rsidRDefault="00922971" w:rsidP="00162F05">
            <w:pPr>
              <w:ind w:hanging="2"/>
              <w:jc w:val="center"/>
              <w:rPr>
                <w:sz w:val="24"/>
                <w:szCs w:val="24"/>
              </w:rPr>
            </w:pPr>
            <w:r>
              <w:rPr>
                <w:rFonts w:ascii="Calibri" w:eastAsia="Calibri" w:hAnsi="Calibri" w:cs="Calibri"/>
              </w:rPr>
              <w:t>3</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714ACA" w14:textId="77777777" w:rsidR="00922971" w:rsidRDefault="00922971" w:rsidP="00162F05">
            <w:pPr>
              <w:ind w:hanging="2"/>
              <w:jc w:val="center"/>
              <w:rPr>
                <w:sz w:val="24"/>
                <w:szCs w:val="24"/>
              </w:rPr>
            </w:pPr>
            <w:r>
              <w:rPr>
                <w:rFonts w:ascii="Calibri" w:eastAsia="Calibri" w:hAnsi="Calibri" w:cs="Calibri"/>
              </w:rPr>
              <w:t>20</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114EF829" w14:textId="77777777" w:rsidR="00922971" w:rsidRDefault="00922971" w:rsidP="00162F05">
            <w:pPr>
              <w:ind w:hanging="2"/>
              <w:jc w:val="center"/>
              <w:rPr>
                <w:sz w:val="24"/>
                <w:szCs w:val="24"/>
              </w:rPr>
            </w:pPr>
            <w:r>
              <w:rPr>
                <w:rFonts w:ascii="Calibri" w:eastAsia="Calibri" w:hAnsi="Calibri" w:cs="Calibri"/>
              </w:rPr>
              <w:t>A</w:t>
            </w:r>
          </w:p>
        </w:tc>
      </w:tr>
      <w:tr w:rsidR="00922971" w14:paraId="7DCE5317"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28028ADC" w14:textId="77777777" w:rsidR="00922971" w:rsidRDefault="00922971"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495E12F" w14:textId="77777777" w:rsidR="00922971" w:rsidRDefault="00922971"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04EC7197" w14:textId="77777777" w:rsidR="00922971" w:rsidRDefault="00922971" w:rsidP="00162F05">
            <w:pPr>
              <w:ind w:hanging="2"/>
              <w:jc w:val="center"/>
              <w:rPr>
                <w:sz w:val="24"/>
                <w:szCs w:val="24"/>
              </w:rPr>
            </w:pPr>
            <w:r>
              <w:rPr>
                <w:rFonts w:ascii="Calibri" w:eastAsia="Calibri" w:hAnsi="Calibri" w:cs="Calibri"/>
              </w:rPr>
              <w:t>B</w:t>
            </w:r>
          </w:p>
        </w:tc>
      </w:tr>
      <w:tr w:rsidR="00922971" w14:paraId="40BDFFDB"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6F56A41F" w14:textId="77777777" w:rsidR="00922971" w:rsidRDefault="00922971"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9E32262" w14:textId="77777777" w:rsidR="00922971" w:rsidRDefault="00922971"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49AB03CF" w14:textId="77777777" w:rsidR="00922971" w:rsidRDefault="00922971" w:rsidP="00162F05">
            <w:pPr>
              <w:ind w:hanging="2"/>
              <w:jc w:val="center"/>
              <w:rPr>
                <w:sz w:val="24"/>
                <w:szCs w:val="24"/>
              </w:rPr>
            </w:pPr>
            <w:r>
              <w:rPr>
                <w:rFonts w:ascii="Calibri" w:eastAsia="Calibri" w:hAnsi="Calibri" w:cs="Calibri"/>
              </w:rPr>
              <w:t>C</w:t>
            </w:r>
          </w:p>
        </w:tc>
      </w:tr>
      <w:tr w:rsidR="00922971" w14:paraId="03F66834"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540D3E5D" w14:textId="77777777" w:rsidR="00922971" w:rsidRDefault="00922971" w:rsidP="00162F05">
            <w:pPr>
              <w:ind w:hanging="2"/>
              <w:jc w:val="center"/>
              <w:rPr>
                <w:sz w:val="24"/>
                <w:szCs w:val="24"/>
              </w:rPr>
            </w:pPr>
            <w:r>
              <w:rPr>
                <w:rFonts w:ascii="Calibri" w:eastAsia="Calibri" w:hAnsi="Calibri" w:cs="Calibri"/>
              </w:rPr>
              <w:t>2</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B1E4C68" w14:textId="77777777" w:rsidR="00922971" w:rsidRDefault="00922971" w:rsidP="00162F05">
            <w:pPr>
              <w:ind w:hanging="2"/>
              <w:jc w:val="center"/>
              <w:rPr>
                <w:sz w:val="24"/>
                <w:szCs w:val="24"/>
              </w:rPr>
            </w:pPr>
            <w:r>
              <w:rPr>
                <w:rFonts w:ascii="Calibri" w:eastAsia="Calibri" w:hAnsi="Calibri" w:cs="Calibri"/>
              </w:rPr>
              <w:t>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7465E45B" w14:textId="77777777" w:rsidR="00922971" w:rsidRDefault="00922971" w:rsidP="00162F05">
            <w:pPr>
              <w:ind w:hanging="2"/>
              <w:jc w:val="center"/>
              <w:rPr>
                <w:sz w:val="24"/>
                <w:szCs w:val="24"/>
              </w:rPr>
            </w:pPr>
            <w:r>
              <w:rPr>
                <w:rFonts w:ascii="Calibri" w:eastAsia="Calibri" w:hAnsi="Calibri" w:cs="Calibri"/>
              </w:rPr>
              <w:t>H1</w:t>
            </w:r>
          </w:p>
        </w:tc>
      </w:tr>
      <w:tr w:rsidR="00922971" w14:paraId="2AB728A3" w14:textId="77777777" w:rsidTr="00162F05">
        <w:trPr>
          <w:trHeight w:val="30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0" w:type="dxa"/>
              <w:left w:w="70" w:type="dxa"/>
              <w:bottom w:w="0" w:type="dxa"/>
              <w:right w:w="70" w:type="dxa"/>
            </w:tcMar>
          </w:tcPr>
          <w:p w14:paraId="1F085129" w14:textId="77777777" w:rsidR="00922971" w:rsidRDefault="00922971" w:rsidP="00162F05">
            <w:pPr>
              <w:ind w:hanging="2"/>
              <w:jc w:val="center"/>
              <w:rPr>
                <w:sz w:val="24"/>
                <w:szCs w:val="24"/>
              </w:rPr>
            </w:pPr>
            <w:r>
              <w:rPr>
                <w:rFonts w:ascii="Calibri" w:eastAsia="Calibri" w:hAnsi="Calibri" w:cs="Calibri"/>
              </w:rPr>
              <w:t> </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D1E4333" w14:textId="77777777" w:rsidR="00922971" w:rsidRDefault="00922971" w:rsidP="00162F05">
            <w:pPr>
              <w:ind w:hanging="2"/>
              <w:jc w:val="center"/>
              <w:rPr>
                <w:sz w:val="24"/>
                <w:szCs w:val="24"/>
              </w:rPr>
            </w:pPr>
            <w:r>
              <w:rPr>
                <w:rFonts w:ascii="Calibri" w:eastAsia="Calibri" w:hAnsi="Calibri" w:cs="Calibri"/>
              </w:rPr>
              <w:t> 15</w:t>
            </w:r>
          </w:p>
        </w:tc>
        <w:tc>
          <w:tcPr>
            <w:tcW w:w="795" w:type="dxa"/>
            <w:tcBorders>
              <w:top w:val="single" w:sz="4" w:space="0" w:color="000000"/>
              <w:left w:val="single" w:sz="4" w:space="0" w:color="000000"/>
              <w:bottom w:val="single" w:sz="4" w:space="0" w:color="000000"/>
              <w:right w:val="single" w:sz="8" w:space="0" w:color="000000"/>
            </w:tcBorders>
            <w:tcMar>
              <w:top w:w="0" w:type="dxa"/>
              <w:left w:w="70" w:type="dxa"/>
              <w:bottom w:w="0" w:type="dxa"/>
              <w:right w:w="70" w:type="dxa"/>
            </w:tcMar>
          </w:tcPr>
          <w:p w14:paraId="2D04C2EF" w14:textId="77777777" w:rsidR="00922971" w:rsidRDefault="00922971" w:rsidP="00162F05">
            <w:pPr>
              <w:ind w:hanging="2"/>
              <w:jc w:val="center"/>
              <w:rPr>
                <w:sz w:val="24"/>
                <w:szCs w:val="24"/>
              </w:rPr>
            </w:pPr>
            <w:r>
              <w:rPr>
                <w:rFonts w:ascii="Calibri" w:eastAsia="Calibri" w:hAnsi="Calibri" w:cs="Calibri"/>
              </w:rPr>
              <w:t>H2</w:t>
            </w:r>
          </w:p>
        </w:tc>
      </w:tr>
      <w:tr w:rsidR="00922971" w14:paraId="69263A0B" w14:textId="77777777" w:rsidTr="00162F05">
        <w:trPr>
          <w:trHeight w:val="315"/>
        </w:trPr>
        <w:tc>
          <w:tcPr>
            <w:tcW w:w="990" w:type="dxa"/>
            <w:tcBorders>
              <w:top w:val="single" w:sz="4" w:space="0" w:color="000000"/>
              <w:left w:val="single" w:sz="8" w:space="0" w:color="000000"/>
              <w:bottom w:val="single" w:sz="8" w:space="0" w:color="000000"/>
              <w:right w:val="single" w:sz="4" w:space="0" w:color="000000"/>
            </w:tcBorders>
            <w:shd w:val="clear" w:color="auto" w:fill="auto"/>
            <w:tcMar>
              <w:top w:w="0" w:type="dxa"/>
              <w:left w:w="70" w:type="dxa"/>
              <w:bottom w:w="0" w:type="dxa"/>
              <w:right w:w="70" w:type="dxa"/>
            </w:tcMar>
          </w:tcPr>
          <w:p w14:paraId="4F9EB893" w14:textId="77777777" w:rsidR="00922971" w:rsidRDefault="00922971" w:rsidP="00162F05">
            <w:pPr>
              <w:ind w:hanging="2"/>
              <w:jc w:val="center"/>
              <w:rPr>
                <w:sz w:val="24"/>
                <w:szCs w:val="24"/>
              </w:rPr>
            </w:pPr>
            <w:r>
              <w:rPr>
                <w:rFonts w:ascii="Calibri" w:eastAsia="Calibri" w:hAnsi="Calibri" w:cs="Calibri"/>
              </w:rPr>
              <w:t>1</w:t>
            </w:r>
          </w:p>
        </w:tc>
        <w:tc>
          <w:tcPr>
            <w:tcW w:w="2025" w:type="dxa"/>
            <w:tcBorders>
              <w:top w:val="single" w:sz="4" w:space="0" w:color="000000"/>
              <w:left w:val="single" w:sz="4" w:space="0" w:color="000000"/>
              <w:bottom w:val="single" w:sz="8" w:space="0" w:color="000000"/>
              <w:right w:val="single" w:sz="4" w:space="0" w:color="000000"/>
            </w:tcBorders>
            <w:shd w:val="clear" w:color="auto" w:fill="auto"/>
            <w:tcMar>
              <w:top w:w="0" w:type="dxa"/>
              <w:left w:w="70" w:type="dxa"/>
              <w:bottom w:w="0" w:type="dxa"/>
              <w:right w:w="70" w:type="dxa"/>
            </w:tcMar>
          </w:tcPr>
          <w:p w14:paraId="171BC48F" w14:textId="77777777" w:rsidR="00922971" w:rsidRDefault="00922971" w:rsidP="00162F05">
            <w:pPr>
              <w:ind w:hanging="2"/>
              <w:jc w:val="center"/>
              <w:rPr>
                <w:sz w:val="24"/>
                <w:szCs w:val="24"/>
              </w:rPr>
            </w:pPr>
            <w:r>
              <w:rPr>
                <w:rFonts w:ascii="Calibri" w:eastAsia="Calibri" w:hAnsi="Calibri" w:cs="Calibri"/>
              </w:rPr>
              <w:t>30</w:t>
            </w:r>
          </w:p>
        </w:tc>
        <w:tc>
          <w:tcPr>
            <w:tcW w:w="795" w:type="dxa"/>
            <w:tcBorders>
              <w:top w:val="single" w:sz="4" w:space="0" w:color="000000"/>
              <w:left w:val="single" w:sz="4" w:space="0" w:color="000000"/>
              <w:bottom w:val="single" w:sz="8" w:space="0" w:color="000000"/>
              <w:right w:val="single" w:sz="8" w:space="0" w:color="000000"/>
            </w:tcBorders>
            <w:tcMar>
              <w:top w:w="0" w:type="dxa"/>
              <w:left w:w="70" w:type="dxa"/>
              <w:bottom w:w="0" w:type="dxa"/>
              <w:right w:w="70" w:type="dxa"/>
            </w:tcMar>
          </w:tcPr>
          <w:p w14:paraId="1F505DAB" w14:textId="77777777" w:rsidR="00922971" w:rsidRDefault="00922971" w:rsidP="00162F05">
            <w:pPr>
              <w:ind w:hanging="2"/>
              <w:jc w:val="center"/>
              <w:rPr>
                <w:sz w:val="24"/>
                <w:szCs w:val="24"/>
              </w:rPr>
            </w:pPr>
            <w:r>
              <w:rPr>
                <w:rFonts w:ascii="Calibri" w:eastAsia="Calibri" w:hAnsi="Calibri" w:cs="Calibri"/>
              </w:rPr>
              <w:t>I</w:t>
            </w:r>
          </w:p>
        </w:tc>
      </w:tr>
    </w:tbl>
    <w:p w14:paraId="7A8D986D" w14:textId="77777777" w:rsidR="00922971" w:rsidRDefault="00922971" w:rsidP="00922971">
      <w:pPr>
        <w:spacing w:after="240"/>
        <w:ind w:hanging="2"/>
        <w:rPr>
          <w:sz w:val="24"/>
          <w:szCs w:val="24"/>
        </w:rPr>
      </w:pPr>
    </w:p>
    <w:p w14:paraId="251D8509" w14:textId="77777777" w:rsidR="00922971" w:rsidRDefault="00922971" w:rsidP="00922971">
      <w:pPr>
        <w:ind w:hanging="2"/>
        <w:rPr>
          <w:color w:val="000000"/>
          <w:sz w:val="24"/>
          <w:szCs w:val="24"/>
        </w:rPr>
      </w:pPr>
      <w:proofErr w:type="gramStart"/>
      <w:r>
        <w:rPr>
          <w:rFonts w:ascii="Calibri" w:eastAsia="Calibri" w:hAnsi="Calibri" w:cs="Calibri"/>
          <w:color w:val="000000"/>
          <w:sz w:val="22"/>
          <w:szCs w:val="22"/>
        </w:rPr>
        <w:t>Asimismo</w:t>
      </w:r>
      <w:proofErr w:type="gramEnd"/>
      <w:r>
        <w:rPr>
          <w:rFonts w:ascii="Calibri" w:eastAsia="Calibri" w:hAnsi="Calibri" w:cs="Calibri"/>
          <w:color w:val="000000"/>
          <w:sz w:val="22"/>
          <w:szCs w:val="22"/>
        </w:rPr>
        <w:t xml:space="preserve"> se cuenta con los siguientes espacios para la orientación de las actividades académicas:</w:t>
      </w:r>
    </w:p>
    <w:p w14:paraId="7885726C" w14:textId="77777777" w:rsidR="00922971" w:rsidRDefault="00922971" w:rsidP="00922971">
      <w:pPr>
        <w:ind w:hanging="2"/>
        <w:rPr>
          <w:color w:val="000000"/>
          <w:sz w:val="24"/>
          <w:szCs w:val="24"/>
        </w:rPr>
      </w:pPr>
    </w:p>
    <w:tbl>
      <w:tblPr>
        <w:tblW w:w="82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
        <w:gridCol w:w="5242"/>
        <w:gridCol w:w="928"/>
        <w:gridCol w:w="1143"/>
      </w:tblGrid>
      <w:tr w:rsidR="00922971" w14:paraId="2D5C8528" w14:textId="77777777" w:rsidTr="00162F05">
        <w:trPr>
          <w:trHeight w:val="500"/>
        </w:trPr>
        <w:tc>
          <w:tcPr>
            <w:tcW w:w="887"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3283965E"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5242"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7D2C54CF"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Nombre</w:t>
            </w:r>
          </w:p>
        </w:tc>
        <w:tc>
          <w:tcPr>
            <w:tcW w:w="928"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28BE800A"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Campus</w:t>
            </w:r>
          </w:p>
        </w:tc>
        <w:tc>
          <w:tcPr>
            <w:tcW w:w="1143" w:type="dxa"/>
            <w:tcBorders>
              <w:top w:val="single" w:sz="8" w:space="0" w:color="000000"/>
              <w:left w:val="single" w:sz="8" w:space="0" w:color="000000"/>
              <w:bottom w:val="single" w:sz="12" w:space="0" w:color="000000"/>
              <w:right w:val="single" w:sz="8" w:space="0" w:color="000000"/>
            </w:tcBorders>
            <w:tcMar>
              <w:left w:w="100" w:type="dxa"/>
              <w:right w:w="100" w:type="dxa"/>
            </w:tcMar>
            <w:vAlign w:val="center"/>
          </w:tcPr>
          <w:p w14:paraId="2F42B668"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b/>
                <w:color w:val="000000"/>
                <w:sz w:val="22"/>
                <w:szCs w:val="22"/>
              </w:rPr>
              <w:t>Capacidad</w:t>
            </w:r>
          </w:p>
        </w:tc>
      </w:tr>
      <w:tr w:rsidR="00922971" w14:paraId="7FFA4CC6" w14:textId="77777777" w:rsidTr="00162F05">
        <w:trPr>
          <w:trHeight w:val="710"/>
        </w:trPr>
        <w:tc>
          <w:tcPr>
            <w:tcW w:w="887"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516D0D0C"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B-413</w:t>
            </w:r>
          </w:p>
        </w:tc>
        <w:tc>
          <w:tcPr>
            <w:tcW w:w="5242"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5F9A6411"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Sala de Consejo de Facultad Ciencias Exactas y Naturales</w:t>
            </w:r>
          </w:p>
        </w:tc>
        <w:tc>
          <w:tcPr>
            <w:tcW w:w="928"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40FDD0CB"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12" w:space="0" w:color="000000"/>
              <w:left w:val="single" w:sz="8" w:space="0" w:color="000000"/>
              <w:bottom w:val="single" w:sz="8" w:space="0" w:color="000000"/>
              <w:right w:val="single" w:sz="8" w:space="0" w:color="000000"/>
            </w:tcBorders>
            <w:tcMar>
              <w:left w:w="100" w:type="dxa"/>
              <w:right w:w="100" w:type="dxa"/>
            </w:tcMar>
            <w:vAlign w:val="center"/>
          </w:tcPr>
          <w:p w14:paraId="643FD5CF"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15</w:t>
            </w:r>
          </w:p>
        </w:tc>
      </w:tr>
      <w:tr w:rsidR="00922971" w14:paraId="43C5045C" w14:textId="77777777" w:rsidTr="00162F05">
        <w:trPr>
          <w:trHeight w:val="695"/>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0603B52"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C-201</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6D08823"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Auditorio Danilo Cruz Vélez</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49038E44"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875A198"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100</w:t>
            </w:r>
          </w:p>
        </w:tc>
      </w:tr>
      <w:tr w:rsidR="00922971" w14:paraId="75A6FBC3" w14:textId="77777777" w:rsidTr="00162F05">
        <w:trPr>
          <w:trHeight w:val="500"/>
        </w:trPr>
        <w:tc>
          <w:tcPr>
            <w:tcW w:w="887"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7845037A"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U-117</w:t>
            </w:r>
          </w:p>
        </w:tc>
        <w:tc>
          <w:tcPr>
            <w:tcW w:w="5242"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AA35928" w14:textId="77777777" w:rsidR="00922971" w:rsidRDefault="00922971" w:rsidP="00162F05">
            <w:pPr>
              <w:ind w:hanging="2"/>
              <w:rPr>
                <w:rFonts w:ascii="Calibri" w:eastAsia="Calibri" w:hAnsi="Calibri" w:cs="Calibri"/>
                <w:sz w:val="22"/>
                <w:szCs w:val="22"/>
              </w:rPr>
            </w:pPr>
            <w:r>
              <w:rPr>
                <w:rFonts w:ascii="Calibri" w:eastAsia="Calibri" w:hAnsi="Calibri" w:cs="Calibri"/>
                <w:color w:val="000000"/>
                <w:sz w:val="22"/>
                <w:szCs w:val="22"/>
              </w:rPr>
              <w:t>Aula</w:t>
            </w:r>
          </w:p>
        </w:tc>
        <w:tc>
          <w:tcPr>
            <w:tcW w:w="9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7A0147F"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Central</w:t>
            </w:r>
          </w:p>
        </w:tc>
        <w:tc>
          <w:tcPr>
            <w:tcW w:w="11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33F121F" w14:textId="77777777" w:rsidR="00922971" w:rsidRDefault="00922971" w:rsidP="00162F05">
            <w:pPr>
              <w:ind w:hanging="2"/>
              <w:jc w:val="center"/>
              <w:rPr>
                <w:rFonts w:ascii="Calibri" w:eastAsia="Calibri" w:hAnsi="Calibri" w:cs="Calibri"/>
                <w:sz w:val="22"/>
                <w:szCs w:val="22"/>
              </w:rPr>
            </w:pPr>
            <w:r>
              <w:rPr>
                <w:rFonts w:ascii="Calibri" w:eastAsia="Calibri" w:hAnsi="Calibri" w:cs="Calibri"/>
                <w:color w:val="000000"/>
                <w:sz w:val="22"/>
                <w:szCs w:val="22"/>
              </w:rPr>
              <w:t>20</w:t>
            </w:r>
          </w:p>
        </w:tc>
      </w:tr>
    </w:tbl>
    <w:p w14:paraId="22155324" w14:textId="77777777" w:rsidR="00922971" w:rsidRDefault="00922971" w:rsidP="00922971">
      <w:pPr>
        <w:spacing w:after="240"/>
        <w:ind w:hanging="2"/>
        <w:rPr>
          <w:color w:val="000000"/>
          <w:sz w:val="24"/>
          <w:szCs w:val="24"/>
        </w:rPr>
      </w:pPr>
    </w:p>
    <w:p w14:paraId="272343C0" w14:textId="77777777" w:rsidR="00922971" w:rsidRDefault="00922971" w:rsidP="00922971">
      <w:pPr>
        <w:ind w:hanging="2"/>
        <w:rPr>
          <w:color w:val="000000"/>
          <w:sz w:val="24"/>
          <w:szCs w:val="24"/>
        </w:rPr>
      </w:pPr>
      <w:r>
        <w:rPr>
          <w:rFonts w:ascii="Calibri" w:eastAsia="Calibri" w:hAnsi="Calibri" w:cs="Calibri"/>
          <w:b/>
          <w:color w:val="000000"/>
          <w:sz w:val="22"/>
          <w:szCs w:val="22"/>
        </w:rPr>
        <w:t>Sistema de Biblioteca y de Información Científica </w:t>
      </w:r>
    </w:p>
    <w:p w14:paraId="0EEAF505" w14:textId="77777777" w:rsidR="00922971" w:rsidRDefault="00922971" w:rsidP="00922971">
      <w:pPr>
        <w:spacing w:after="160"/>
        <w:ind w:hanging="2"/>
        <w:jc w:val="both"/>
        <w:rPr>
          <w:color w:val="000000"/>
          <w:sz w:val="24"/>
          <w:szCs w:val="24"/>
        </w:rPr>
      </w:pPr>
      <w:r>
        <w:rPr>
          <w:rFonts w:ascii="Calibri" w:eastAsia="Calibri" w:hAnsi="Calibri" w:cs="Calibri"/>
          <w:color w:val="000000"/>
          <w:sz w:val="22"/>
          <w:szCs w:val="22"/>
        </w:rPr>
        <w:t>El Centro de Biblioteca e Información Científica de la Universidad, adscrito a la Vicerrectoría Académica, cuenta con un importante material bibliográfico, acceso a bases de datos, espacios suficientes, bien acondicionados y aptos para su desempeño.</w:t>
      </w:r>
    </w:p>
    <w:p w14:paraId="66C6733E" w14:textId="77777777" w:rsidR="00922971" w:rsidRDefault="00922971" w:rsidP="00922971">
      <w:pPr>
        <w:ind w:hanging="2"/>
        <w:rPr>
          <w:color w:val="000000"/>
          <w:sz w:val="24"/>
          <w:szCs w:val="24"/>
        </w:rPr>
      </w:pPr>
      <w:r>
        <w:rPr>
          <w:rFonts w:ascii="Calibri" w:eastAsia="Calibri" w:hAnsi="Calibri" w:cs="Calibri"/>
          <w:b/>
          <w:color w:val="000000"/>
          <w:sz w:val="22"/>
          <w:szCs w:val="22"/>
        </w:rPr>
        <w:t>El Centro de Biblioteca y de Información Científica contiene las siguientes colecciones: </w:t>
      </w:r>
    </w:p>
    <w:p w14:paraId="663FF4BA" w14:textId="77777777" w:rsidR="00922971" w:rsidRDefault="00922971" w:rsidP="00922971">
      <w:pPr>
        <w:ind w:hanging="2"/>
        <w:rPr>
          <w:color w:val="000000"/>
          <w:sz w:val="24"/>
          <w:szCs w:val="24"/>
        </w:rPr>
      </w:pPr>
      <w:r>
        <w:rPr>
          <w:color w:val="000000"/>
          <w:sz w:val="24"/>
          <w:szCs w:val="24"/>
        </w:rPr>
        <w:br/>
      </w:r>
    </w:p>
    <w:p w14:paraId="3E9C704B"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general: libros de texto y monografías de interés general. </w:t>
      </w:r>
    </w:p>
    <w:p w14:paraId="128CB63B"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referencia: enciclopedias, manuales, diccionarios, manuales y textos de consulta rápida. </w:t>
      </w:r>
    </w:p>
    <w:p w14:paraId="3B37A5C3"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lastRenderedPageBreak/>
        <w:t>Colección de reserva: textos guía y libros que contienen lecturas asignadas por los docentes en cada semestre. </w:t>
      </w:r>
    </w:p>
    <w:p w14:paraId="60DF09BF"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Colección de trabajos de grado: trabajos elaborados por los estudiantes de la Universidad de Caldas para obtener su título profesional de pregrado o postgrado. </w:t>
      </w:r>
    </w:p>
    <w:p w14:paraId="6785D168"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Línea de investigación: trabajos realizados por los semilleros de investigación. </w:t>
      </w:r>
    </w:p>
    <w:p w14:paraId="13BF67A3" w14:textId="77777777" w:rsidR="00922971" w:rsidRDefault="00922971" w:rsidP="00922971">
      <w:pPr>
        <w:numPr>
          <w:ilvl w:val="0"/>
          <w:numId w:val="65"/>
        </w:numPr>
        <w:spacing w:after="33"/>
        <w:ind w:left="565" w:hanging="279"/>
        <w:rPr>
          <w:rFonts w:ascii="Calibri" w:eastAsia="Calibri" w:hAnsi="Calibri" w:cs="Calibri"/>
          <w:color w:val="000000"/>
          <w:sz w:val="22"/>
          <w:szCs w:val="22"/>
        </w:rPr>
      </w:pPr>
      <w:r>
        <w:rPr>
          <w:rFonts w:ascii="Calibri" w:eastAsia="Calibri" w:hAnsi="Calibri" w:cs="Calibri"/>
          <w:color w:val="000000"/>
          <w:sz w:val="22"/>
          <w:szCs w:val="22"/>
        </w:rPr>
        <w:t>Publicaciones Seriadas (Hemeroteca): La integran publicaciones que se editan por entregas sucesivas, generalmente tienen edición numérica o cronológica y pretenden aparecer indefinidamente, tales como: revistas, diarios, boletines, entre otros. </w:t>
      </w:r>
    </w:p>
    <w:p w14:paraId="30F79E6D" w14:textId="77777777" w:rsidR="00922971" w:rsidRDefault="00922971" w:rsidP="00922971">
      <w:pPr>
        <w:numPr>
          <w:ilvl w:val="0"/>
          <w:numId w:val="65"/>
        </w:numPr>
        <w:ind w:left="565" w:hanging="279"/>
        <w:rPr>
          <w:rFonts w:ascii="Calibri" w:eastAsia="Calibri" w:hAnsi="Calibri" w:cs="Calibri"/>
          <w:color w:val="000000"/>
          <w:sz w:val="22"/>
          <w:szCs w:val="22"/>
        </w:rPr>
      </w:pPr>
      <w:r>
        <w:rPr>
          <w:rFonts w:ascii="Calibri" w:eastAsia="Calibri" w:hAnsi="Calibri" w:cs="Calibri"/>
          <w:color w:val="000000"/>
          <w:sz w:val="22"/>
          <w:szCs w:val="22"/>
        </w:rPr>
        <w:t xml:space="preserve">Colecciones especiales: 17 equipos portátiles, distribuidos así: siete (7) en la biblioteca especializada de Ciencias Jurídicas y 10 en la biblioteca central. </w:t>
      </w:r>
    </w:p>
    <w:p w14:paraId="268576A5" w14:textId="77777777" w:rsidR="00922971" w:rsidRDefault="00922971" w:rsidP="00922971">
      <w:pPr>
        <w:ind w:hanging="2"/>
        <w:jc w:val="both"/>
        <w:rPr>
          <w:rFonts w:ascii="Calibri" w:eastAsia="Calibri" w:hAnsi="Calibri" w:cs="Calibri"/>
          <w:color w:val="000000"/>
          <w:sz w:val="22"/>
          <w:szCs w:val="22"/>
        </w:rPr>
      </w:pPr>
    </w:p>
    <w:p w14:paraId="69255083" w14:textId="77777777" w:rsidR="00922971" w:rsidRDefault="00922971" w:rsidP="00922971">
      <w:pPr>
        <w:ind w:hanging="2"/>
        <w:jc w:val="both"/>
        <w:rPr>
          <w:rFonts w:ascii="Calibri" w:eastAsia="Calibri" w:hAnsi="Calibri" w:cs="Calibri"/>
          <w:color w:val="000000"/>
          <w:sz w:val="22"/>
          <w:szCs w:val="22"/>
        </w:rPr>
      </w:pPr>
    </w:p>
    <w:p w14:paraId="578E90BF" w14:textId="77777777" w:rsidR="00922971" w:rsidRDefault="00922971" w:rsidP="00922971">
      <w:pPr>
        <w:ind w:hanging="2"/>
        <w:jc w:val="both"/>
      </w:pPr>
      <w:r>
        <w:rPr>
          <w:rFonts w:ascii="Calibri" w:eastAsia="Calibri" w:hAnsi="Calibri" w:cs="Calibri"/>
          <w:color w:val="000000"/>
          <w:sz w:val="22"/>
          <w:szCs w:val="22"/>
        </w:rPr>
        <w:t xml:space="preserve"> </w:t>
      </w:r>
    </w:p>
    <w:p w14:paraId="1353E374"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Centros Regionales de Educación Superior –CERES.</w:t>
      </w:r>
    </w:p>
    <w:p w14:paraId="14499A7B" w14:textId="77777777" w:rsidR="00922971" w:rsidRDefault="00922971" w:rsidP="00922971">
      <w:pPr>
        <w:ind w:hanging="2"/>
        <w:jc w:val="both"/>
        <w:rPr>
          <w:rFonts w:ascii="Calibri" w:eastAsia="Calibri" w:hAnsi="Calibri" w:cs="Calibri"/>
          <w:b/>
          <w:color w:val="000000"/>
          <w:sz w:val="22"/>
          <w:szCs w:val="22"/>
        </w:rPr>
      </w:pPr>
    </w:p>
    <w:p w14:paraId="66B82325" w14:textId="77777777" w:rsidR="00922971" w:rsidRDefault="00922971" w:rsidP="00922971">
      <w:pPr>
        <w:ind w:hanging="2"/>
        <w:jc w:val="center"/>
      </w:pPr>
      <w:r>
        <w:rPr>
          <w:noProof/>
        </w:rPr>
        <w:drawing>
          <wp:inline distT="0" distB="0" distL="114300" distR="114300" wp14:anchorId="7FF0AE6C" wp14:editId="4F6066C9">
            <wp:extent cx="4572000" cy="3076575"/>
            <wp:effectExtent l="0" t="0" r="0" b="0"/>
            <wp:docPr id="14782573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572000" cy="3076575"/>
                    </a:xfrm>
                    <a:prstGeom prst="rect">
                      <a:avLst/>
                    </a:prstGeom>
                    <a:ln/>
                  </pic:spPr>
                </pic:pic>
              </a:graphicData>
            </a:graphic>
          </wp:inline>
        </w:drawing>
      </w:r>
    </w:p>
    <w:p w14:paraId="412920B4"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Estos centros corresponden a una estrategia nacional aprobada por el Ministerio de Educación Nacional, se centra en la oferta de programas de educación superior pertinentes a la comunidad y acordes con la vocación productiva de cada región del departamento de Caldas, además promueve la conformación de alianzas interinstitucionales que posibilitan el uso compartido de recursos humanos, financieros, de infraestructura y conectividad. Estas ofertas educativas se orientan en las cabeceras de los municipios de Colombia.</w:t>
      </w:r>
    </w:p>
    <w:p w14:paraId="61D86032"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44EF50F4"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el Departamento de Caldas, la Universidad hace presencia en los municipios de: La Dorada, Anserma y Río Sucio, cuyo objetivo es: "Generar oportunidades de desarrollo social y económico a las comunidades, a través de la generación de oportunidades de acceso a la educación superior".</w:t>
      </w:r>
    </w:p>
    <w:p w14:paraId="2C0184F9"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51570040"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sz w:val="22"/>
          <w:szCs w:val="22"/>
        </w:rPr>
        <w:t xml:space="preserve">Para más información sobre la infraestructura y mejoramiento de la capacidad instalada en pro de dar respuestas a las necesidades de cada subregión se sintetiza los resultados en el siguiente enlace: </w:t>
      </w:r>
      <w:hyperlink r:id="rId6">
        <w:r>
          <w:rPr>
            <w:rFonts w:ascii="Calibri" w:eastAsia="Calibri" w:hAnsi="Calibri" w:cs="Calibri"/>
            <w:color w:val="1155CC"/>
            <w:sz w:val="22"/>
            <w:szCs w:val="22"/>
            <w:u w:val="single"/>
          </w:rPr>
          <w:t xml:space="preserve">Cartilla educación a distancia </w:t>
        </w:r>
      </w:hyperlink>
    </w:p>
    <w:p w14:paraId="11B16F25" w14:textId="77777777" w:rsidR="00922971" w:rsidRDefault="00922971" w:rsidP="00922971">
      <w:pPr>
        <w:ind w:hanging="2"/>
        <w:jc w:val="both"/>
        <w:rPr>
          <w:rFonts w:ascii="Calibri" w:eastAsia="Calibri" w:hAnsi="Calibri" w:cs="Calibri"/>
          <w:color w:val="000000"/>
          <w:sz w:val="22"/>
          <w:szCs w:val="22"/>
        </w:rPr>
      </w:pPr>
    </w:p>
    <w:p w14:paraId="5F019463" w14:textId="77777777" w:rsidR="00922971" w:rsidRDefault="00922971" w:rsidP="00922971">
      <w:pPr>
        <w:ind w:hanging="2"/>
        <w:jc w:val="both"/>
        <w:rPr>
          <w:rFonts w:ascii="Calibri" w:eastAsia="Calibri" w:hAnsi="Calibri" w:cs="Calibri"/>
          <w:color w:val="000000"/>
          <w:sz w:val="22"/>
          <w:szCs w:val="22"/>
        </w:rPr>
      </w:pPr>
      <w:r>
        <w:rPr>
          <w:rFonts w:ascii="Calibri" w:eastAsia="Calibri" w:hAnsi="Calibri" w:cs="Calibri"/>
          <w:color w:val="000000"/>
          <w:sz w:val="22"/>
          <w:szCs w:val="22"/>
        </w:rPr>
        <w:t>En el contexto de los municipios de La Dorada, Anserma y Río Sucio, el acceso a los medios educativos, incluyendo libros y bases de datos, es un aspecto fundamental para asegurar una formación integral en energías renovables. Para garantizar el acceso a estos recursos, se implementarán estrategias que permitan que los estudiantes y profesores de estos municipios puedan aprovecharlos de manera efectiva:</w:t>
      </w:r>
    </w:p>
    <w:p w14:paraId="5AA691C6"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Bibliotecas digitales y acceso en línea: La universidad cuenta con bibliotecas digitales (</w:t>
      </w:r>
      <w:hyperlink r:id="rId7">
        <w:r>
          <w:rPr>
            <w:rFonts w:ascii="Calibri" w:eastAsia="Calibri" w:hAnsi="Calibri" w:cs="Calibri"/>
            <w:color w:val="1155CC"/>
            <w:sz w:val="22"/>
            <w:szCs w:val="22"/>
            <w:u w:val="single"/>
          </w:rPr>
          <w:t>Biblioteca virtual</w:t>
        </w:r>
      </w:hyperlink>
      <w:r>
        <w:rPr>
          <w:rFonts w:ascii="Calibri" w:eastAsia="Calibri" w:hAnsi="Calibri" w:cs="Calibri"/>
          <w:sz w:val="22"/>
          <w:szCs w:val="22"/>
        </w:rPr>
        <w:t>)</w:t>
      </w:r>
      <w:r>
        <w:rPr>
          <w:rFonts w:ascii="Calibri" w:eastAsia="Calibri" w:hAnsi="Calibri" w:cs="Calibri"/>
          <w:color w:val="000000"/>
          <w:sz w:val="22"/>
          <w:szCs w:val="22"/>
        </w:rPr>
        <w:t xml:space="preserve"> con una amplia selección de libros y recursos educativos relacionados con energías renovables. Estas bibliotecas estarán disponibles en línea y podrán ser accedidas desde cualquier lugar con conexión a internet. Los estudiantes y profesores de los municipios podrán consultar y descargar materiales de forma gratuita, lo que les permitirá mantenerse actualizados y acceder a información relevante para su formación.</w:t>
      </w:r>
    </w:p>
    <w:p w14:paraId="433343C7"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Plataformas virtuales de aprendizaje: la universidad cuenta con una plataforma virtual de aprendizaje (</w:t>
      </w:r>
      <w:proofErr w:type="spellStart"/>
      <w:r>
        <w:fldChar w:fldCharType="begin"/>
      </w:r>
      <w:r>
        <w:instrText>HYPERLINK "https://virtual.ucaldas.edu.co/" \h</w:instrText>
      </w:r>
      <w:r>
        <w:fldChar w:fldCharType="separate"/>
      </w:r>
      <w:r>
        <w:rPr>
          <w:rFonts w:ascii="Calibri" w:eastAsia="Calibri" w:hAnsi="Calibri" w:cs="Calibri"/>
          <w:color w:val="1155CC"/>
          <w:sz w:val="22"/>
          <w:szCs w:val="22"/>
          <w:u w:val="single"/>
        </w:rPr>
        <w:t>Ucaldas</w:t>
      </w:r>
      <w:proofErr w:type="spellEnd"/>
      <w:r>
        <w:rPr>
          <w:rFonts w:ascii="Calibri" w:eastAsia="Calibri" w:hAnsi="Calibri" w:cs="Calibri"/>
          <w:color w:val="1155CC"/>
          <w:sz w:val="22"/>
          <w:szCs w:val="22"/>
          <w:u w:val="single"/>
        </w:rPr>
        <w:t xml:space="preserve"> virtual</w:t>
      </w:r>
      <w:r>
        <w:fldChar w:fldCharType="end"/>
      </w:r>
      <w:r>
        <w:rPr>
          <w:rFonts w:ascii="Calibri" w:eastAsia="Calibri" w:hAnsi="Calibri" w:cs="Calibri"/>
          <w:color w:val="000000"/>
          <w:sz w:val="22"/>
          <w:szCs w:val="22"/>
        </w:rPr>
        <w:t>) donde se aloja</w:t>
      </w:r>
      <w:r>
        <w:rPr>
          <w:rFonts w:ascii="Calibri" w:eastAsia="Calibri" w:hAnsi="Calibri" w:cs="Calibri"/>
          <w:sz w:val="22"/>
          <w:szCs w:val="22"/>
        </w:rPr>
        <w:t>n</w:t>
      </w:r>
      <w:r>
        <w:rPr>
          <w:rFonts w:ascii="Calibri" w:eastAsia="Calibri" w:hAnsi="Calibri" w:cs="Calibri"/>
          <w:color w:val="000000"/>
          <w:sz w:val="22"/>
          <w:szCs w:val="22"/>
        </w:rPr>
        <w:t xml:space="preserve"> contenidos educativos, videos explicativos, tutoriales y otros recursos interactivos relacionados con energías renovables. Esta plataforma facilita el acceso a la información de manera organizada y dinámica, permitiendo que los estudiantes puedan aprender de forma autónoma y a su propio ritmo.</w:t>
      </w:r>
    </w:p>
    <w:p w14:paraId="20BC03E2"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Programas de préstamo de libros físicos: Aunque el préstamo de libros físicos puede ser más complejo en municipios alejados, se establecerán programas de préstamo que faciliten el acceso a los recursos impresos. Se podrán establecer acuerdos con bibliotecas locales, centros educativos y entidades gubernamentales para asegurar que los libros estén disponibles para préstamo en puntos estratégicos de cada municipio</w:t>
      </w:r>
      <w:r>
        <w:rPr>
          <w:rFonts w:ascii="Calibri" w:eastAsia="Calibri" w:hAnsi="Calibri" w:cs="Calibri"/>
          <w:sz w:val="22"/>
          <w:szCs w:val="22"/>
        </w:rPr>
        <w:t xml:space="preserve"> y a futuro se comenzará a dotar de libros las bibliotecas de los diferentes CERES</w:t>
      </w:r>
      <w:r>
        <w:rPr>
          <w:rFonts w:ascii="Calibri" w:eastAsia="Calibri" w:hAnsi="Calibri" w:cs="Calibri"/>
          <w:color w:val="000000"/>
          <w:sz w:val="22"/>
          <w:szCs w:val="22"/>
        </w:rPr>
        <w:t>.</w:t>
      </w:r>
    </w:p>
    <w:p w14:paraId="67EDBFBA"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Alianzas interinstitucionales: Se buscarán alianzas con otras instituciones educativas, organizaciones gubernamentales y </w:t>
      </w:r>
      <w:proofErr w:type="spellStart"/>
      <w:r>
        <w:rPr>
          <w:rFonts w:ascii="Calibri" w:eastAsia="Calibri" w:hAnsi="Calibri" w:cs="Calibri"/>
          <w:color w:val="000000"/>
          <w:sz w:val="22"/>
          <w:szCs w:val="22"/>
        </w:rPr>
        <w:t>ONGs</w:t>
      </w:r>
      <w:proofErr w:type="spellEnd"/>
      <w:r>
        <w:rPr>
          <w:rFonts w:ascii="Calibri" w:eastAsia="Calibri" w:hAnsi="Calibri" w:cs="Calibri"/>
          <w:color w:val="000000"/>
          <w:sz w:val="22"/>
          <w:szCs w:val="22"/>
        </w:rPr>
        <w:t xml:space="preserve"> que tengan presencia en los municipios. Estas alianzas permitirán ampliar el alcance de los recursos educativos</w:t>
      </w:r>
      <w:r>
        <w:rPr>
          <w:rFonts w:ascii="Calibri" w:eastAsia="Calibri" w:hAnsi="Calibri" w:cs="Calibri"/>
          <w:sz w:val="22"/>
          <w:szCs w:val="22"/>
        </w:rPr>
        <w:t>, como por ejemplo el uso de laboratorios</w:t>
      </w:r>
      <w:r>
        <w:rPr>
          <w:rFonts w:ascii="Calibri" w:eastAsia="Calibri" w:hAnsi="Calibri" w:cs="Calibri"/>
          <w:color w:val="000000"/>
          <w:sz w:val="22"/>
          <w:szCs w:val="22"/>
        </w:rPr>
        <w:t>.</w:t>
      </w:r>
    </w:p>
    <w:p w14:paraId="26E13F7A"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Capacitación y orientación: Se ofrecerán capacitaciones y orientaciones a docentes y estudiantes sobre cómo utilizar eficientemente los medios educativos disponibles. Esto incluirá el uso adecuado de las bases de datos, la búsqueda y selección de información relevante, así como el aprovechamiento de las herramientas virtuales de aprendizaje.</w:t>
      </w:r>
    </w:p>
    <w:p w14:paraId="2A4CFD4B" w14:textId="77777777" w:rsidR="00922971" w:rsidRDefault="00922971" w:rsidP="00922971">
      <w:pPr>
        <w:numPr>
          <w:ilvl w:val="0"/>
          <w:numId w:val="6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Programas de incentivos: Se podrán implementar programas de incentivos que motiven a los estudiantes a utilizar los recursos educativos disponibles. Por ejemplo, se podrían otorgar reconocimientos o certificaciones a aquellos estudiantes que demuestren un alto nivel de aprovechamiento de los medios educativos y su aplicación en proyectos o actividades prácticas.</w:t>
      </w:r>
    </w:p>
    <w:p w14:paraId="669DF525" w14:textId="77777777" w:rsidR="00922971" w:rsidRDefault="00922971" w:rsidP="00922971">
      <w:pPr>
        <w:jc w:val="both"/>
        <w:rPr>
          <w:rFonts w:ascii="Calibri" w:eastAsia="Calibri" w:hAnsi="Calibri" w:cs="Calibri"/>
          <w:color w:val="000000"/>
          <w:sz w:val="22"/>
          <w:szCs w:val="22"/>
        </w:rPr>
      </w:pPr>
    </w:p>
    <w:p w14:paraId="54D2708B" w14:textId="77777777" w:rsidR="00922971" w:rsidRDefault="00922971" w:rsidP="00922971">
      <w:pPr>
        <w:ind w:hanging="2"/>
        <w:jc w:val="both"/>
      </w:pPr>
      <w:r>
        <w:rPr>
          <w:rFonts w:ascii="Calibri" w:eastAsia="Calibri" w:hAnsi="Calibri" w:cs="Calibri"/>
          <w:color w:val="000000"/>
          <w:sz w:val="22"/>
          <w:szCs w:val="22"/>
        </w:rPr>
        <w:t xml:space="preserve">En resumen, el acceso a medios educativos como libros y bases de datos es esencial para la formación en energías renovables en los municipios de La Dorada, Anserma y </w:t>
      </w:r>
      <w:r>
        <w:rPr>
          <w:rFonts w:ascii="Calibri" w:eastAsia="Calibri" w:hAnsi="Calibri" w:cs="Calibri"/>
          <w:sz w:val="22"/>
          <w:szCs w:val="22"/>
        </w:rPr>
        <w:t>Riosucio</w:t>
      </w:r>
      <w:r>
        <w:rPr>
          <w:rFonts w:ascii="Calibri" w:eastAsia="Calibri" w:hAnsi="Calibri" w:cs="Calibri"/>
          <w:color w:val="000000"/>
          <w:sz w:val="22"/>
          <w:szCs w:val="22"/>
        </w:rPr>
        <w:t>. La combinación de bibliotecas digitales, plataformas virtuales, préstamo de libros físicos y alianzas interinstitucionales asegurará que los estudiantes y profesores tengan acceso a la información necesaria para su aprendizaje y desarrollo profesional en esta área clave para el futuro sostenible.</w:t>
      </w:r>
    </w:p>
    <w:p w14:paraId="2834781D" w14:textId="77777777" w:rsidR="00922971" w:rsidRDefault="00922971" w:rsidP="00922971">
      <w:pPr>
        <w:ind w:hanging="2"/>
        <w:jc w:val="both"/>
        <w:rPr>
          <w:rFonts w:ascii="Calibri" w:eastAsia="Calibri" w:hAnsi="Calibri" w:cs="Calibri"/>
          <w:color w:val="000000"/>
          <w:sz w:val="22"/>
          <w:szCs w:val="22"/>
        </w:rPr>
      </w:pPr>
    </w:p>
    <w:p w14:paraId="2E9DC8FB" w14:textId="77777777" w:rsidR="00AE584A" w:rsidRPr="00014322" w:rsidRDefault="00AE584A" w:rsidP="00014322">
      <w:pPr>
        <w:rPr>
          <w:rFonts w:eastAsia="Calibri"/>
        </w:rPr>
      </w:pPr>
    </w:p>
    <w:sectPr w:rsidR="00AE584A" w:rsidRPr="0001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E34"/>
    <w:multiLevelType w:val="multilevel"/>
    <w:tmpl w:val="74D4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5321"/>
    <w:multiLevelType w:val="multilevel"/>
    <w:tmpl w:val="A77838AE"/>
    <w:lvl w:ilvl="0">
      <w:numFmt w:val="bullet"/>
      <w:lvlText w:val="-"/>
      <w:lvlJc w:val="left"/>
      <w:pPr>
        <w:ind w:left="519" w:hanging="360"/>
      </w:pPr>
      <w:rPr>
        <w:rFonts w:ascii="Arial MT" w:eastAsia="Arial MT" w:hAnsi="Arial MT" w:cs="Arial MT"/>
        <w:sz w:val="24"/>
        <w:szCs w:val="24"/>
        <w:vertAlign w:val="baseline"/>
      </w:rPr>
    </w:lvl>
    <w:lvl w:ilvl="1">
      <w:numFmt w:val="bullet"/>
      <w:lvlText w:val="•"/>
      <w:lvlJc w:val="left"/>
      <w:pPr>
        <w:ind w:left="1384" w:hanging="360"/>
      </w:pPr>
      <w:rPr>
        <w:vertAlign w:val="baseline"/>
      </w:rPr>
    </w:lvl>
    <w:lvl w:ilvl="2">
      <w:numFmt w:val="bullet"/>
      <w:lvlText w:val="•"/>
      <w:lvlJc w:val="left"/>
      <w:pPr>
        <w:ind w:left="2248" w:hanging="360"/>
      </w:pPr>
      <w:rPr>
        <w:vertAlign w:val="baseline"/>
      </w:rPr>
    </w:lvl>
    <w:lvl w:ilvl="3">
      <w:numFmt w:val="bullet"/>
      <w:lvlText w:val="•"/>
      <w:lvlJc w:val="left"/>
      <w:pPr>
        <w:ind w:left="3112" w:hanging="360"/>
      </w:pPr>
      <w:rPr>
        <w:vertAlign w:val="baseline"/>
      </w:rPr>
    </w:lvl>
    <w:lvl w:ilvl="4">
      <w:numFmt w:val="bullet"/>
      <w:lvlText w:val="•"/>
      <w:lvlJc w:val="left"/>
      <w:pPr>
        <w:ind w:left="3976" w:hanging="360"/>
      </w:pPr>
      <w:rPr>
        <w:vertAlign w:val="baseline"/>
      </w:rPr>
    </w:lvl>
    <w:lvl w:ilvl="5">
      <w:numFmt w:val="bullet"/>
      <w:lvlText w:val="•"/>
      <w:lvlJc w:val="left"/>
      <w:pPr>
        <w:ind w:left="4840" w:hanging="360"/>
      </w:pPr>
      <w:rPr>
        <w:vertAlign w:val="baseline"/>
      </w:rPr>
    </w:lvl>
    <w:lvl w:ilvl="6">
      <w:numFmt w:val="bullet"/>
      <w:lvlText w:val="•"/>
      <w:lvlJc w:val="left"/>
      <w:pPr>
        <w:ind w:left="5704" w:hanging="360"/>
      </w:pPr>
      <w:rPr>
        <w:vertAlign w:val="baseline"/>
      </w:rPr>
    </w:lvl>
    <w:lvl w:ilvl="7">
      <w:numFmt w:val="bullet"/>
      <w:lvlText w:val="•"/>
      <w:lvlJc w:val="left"/>
      <w:pPr>
        <w:ind w:left="6568" w:hanging="360"/>
      </w:pPr>
      <w:rPr>
        <w:vertAlign w:val="baseline"/>
      </w:rPr>
    </w:lvl>
    <w:lvl w:ilvl="8">
      <w:numFmt w:val="bullet"/>
      <w:lvlText w:val="•"/>
      <w:lvlJc w:val="left"/>
      <w:pPr>
        <w:ind w:left="7432" w:hanging="360"/>
      </w:pPr>
      <w:rPr>
        <w:vertAlign w:val="baseline"/>
      </w:rPr>
    </w:lvl>
  </w:abstractNum>
  <w:abstractNum w:abstractNumId="3"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4"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E0917D5"/>
    <w:multiLevelType w:val="hybridMultilevel"/>
    <w:tmpl w:val="73F041E8"/>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193742F"/>
    <w:multiLevelType w:val="multilevel"/>
    <w:tmpl w:val="22D6E4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821503C"/>
    <w:multiLevelType w:val="multilevel"/>
    <w:tmpl w:val="B8A295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D416C90"/>
    <w:multiLevelType w:val="multilevel"/>
    <w:tmpl w:val="40B015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7CB62DD"/>
    <w:multiLevelType w:val="multilevel"/>
    <w:tmpl w:val="0FB63D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C7A7299"/>
    <w:multiLevelType w:val="hybridMultilevel"/>
    <w:tmpl w:val="78F6FCFC"/>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9" w15:restartNumberingAfterBreak="0">
    <w:nsid w:val="2D3C1126"/>
    <w:multiLevelType w:val="multilevel"/>
    <w:tmpl w:val="00F620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E9542EF"/>
    <w:multiLevelType w:val="multilevel"/>
    <w:tmpl w:val="0B0C33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E9A756B"/>
    <w:multiLevelType w:val="multilevel"/>
    <w:tmpl w:val="98CA09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ECC0DA6"/>
    <w:multiLevelType w:val="hybridMultilevel"/>
    <w:tmpl w:val="9B4A018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3"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9A54FF"/>
    <w:multiLevelType w:val="multilevel"/>
    <w:tmpl w:val="E92A8664"/>
    <w:lvl w:ilvl="0">
      <w:start w:val="1"/>
      <w:numFmt w:val="bullet"/>
      <w:lvlText w:val="●"/>
      <w:lvlJc w:val="left"/>
      <w:pPr>
        <w:ind w:left="644" w:hanging="358"/>
      </w:pPr>
      <w:rPr>
        <w:rFonts w:ascii="Noto Sans Symbols" w:eastAsia="Noto Sans Symbols" w:hAnsi="Noto Sans Symbols" w:cs="Noto Sans Symbols"/>
        <w:sz w:val="20"/>
        <w:szCs w:val="20"/>
        <w:vertAlign w:val="baseline"/>
      </w:rPr>
    </w:lvl>
    <w:lvl w:ilvl="1">
      <w:start w:val="1"/>
      <w:numFmt w:val="bullet"/>
      <w:lvlText w:val="o"/>
      <w:lvlJc w:val="left"/>
      <w:pPr>
        <w:ind w:left="1364" w:hanging="360"/>
      </w:pPr>
      <w:rPr>
        <w:rFonts w:ascii="Courier New" w:eastAsia="Courier New" w:hAnsi="Courier New" w:cs="Courier New"/>
        <w:sz w:val="20"/>
        <w:szCs w:val="20"/>
        <w:vertAlign w:val="baseline"/>
      </w:rPr>
    </w:lvl>
    <w:lvl w:ilvl="2">
      <w:start w:val="1"/>
      <w:numFmt w:val="bullet"/>
      <w:lvlText w:val="▪"/>
      <w:lvlJc w:val="left"/>
      <w:pPr>
        <w:ind w:left="2084" w:hanging="360"/>
      </w:pPr>
      <w:rPr>
        <w:rFonts w:ascii="Noto Sans Symbols" w:eastAsia="Noto Sans Symbols" w:hAnsi="Noto Sans Symbols" w:cs="Noto Sans Symbols"/>
        <w:sz w:val="20"/>
        <w:szCs w:val="20"/>
        <w:vertAlign w:val="baseline"/>
      </w:rPr>
    </w:lvl>
    <w:lvl w:ilvl="3">
      <w:start w:val="1"/>
      <w:numFmt w:val="bullet"/>
      <w:lvlText w:val="▪"/>
      <w:lvlJc w:val="left"/>
      <w:pPr>
        <w:ind w:left="2804" w:hanging="360"/>
      </w:pPr>
      <w:rPr>
        <w:rFonts w:ascii="Noto Sans Symbols" w:eastAsia="Noto Sans Symbols" w:hAnsi="Noto Sans Symbols" w:cs="Noto Sans Symbols"/>
        <w:sz w:val="20"/>
        <w:szCs w:val="20"/>
        <w:vertAlign w:val="baseline"/>
      </w:rPr>
    </w:lvl>
    <w:lvl w:ilvl="4">
      <w:start w:val="1"/>
      <w:numFmt w:val="bullet"/>
      <w:lvlText w:val="▪"/>
      <w:lvlJc w:val="left"/>
      <w:pPr>
        <w:ind w:left="3524" w:hanging="360"/>
      </w:pPr>
      <w:rPr>
        <w:rFonts w:ascii="Noto Sans Symbols" w:eastAsia="Noto Sans Symbols" w:hAnsi="Noto Sans Symbols" w:cs="Noto Sans Symbols"/>
        <w:sz w:val="20"/>
        <w:szCs w:val="20"/>
        <w:vertAlign w:val="baseline"/>
      </w:rPr>
    </w:lvl>
    <w:lvl w:ilvl="5">
      <w:start w:val="1"/>
      <w:numFmt w:val="bullet"/>
      <w:lvlText w:val="▪"/>
      <w:lvlJc w:val="left"/>
      <w:pPr>
        <w:ind w:left="4244" w:hanging="360"/>
      </w:pPr>
      <w:rPr>
        <w:rFonts w:ascii="Noto Sans Symbols" w:eastAsia="Noto Sans Symbols" w:hAnsi="Noto Sans Symbols" w:cs="Noto Sans Symbols"/>
        <w:sz w:val="20"/>
        <w:szCs w:val="20"/>
        <w:vertAlign w:val="baseline"/>
      </w:rPr>
    </w:lvl>
    <w:lvl w:ilvl="6">
      <w:start w:val="1"/>
      <w:numFmt w:val="bullet"/>
      <w:lvlText w:val="▪"/>
      <w:lvlJc w:val="left"/>
      <w:pPr>
        <w:ind w:left="4964" w:hanging="360"/>
      </w:pPr>
      <w:rPr>
        <w:rFonts w:ascii="Noto Sans Symbols" w:eastAsia="Noto Sans Symbols" w:hAnsi="Noto Sans Symbols" w:cs="Noto Sans Symbols"/>
        <w:sz w:val="20"/>
        <w:szCs w:val="20"/>
        <w:vertAlign w:val="baseline"/>
      </w:rPr>
    </w:lvl>
    <w:lvl w:ilvl="7">
      <w:start w:val="1"/>
      <w:numFmt w:val="bullet"/>
      <w:lvlText w:val="▪"/>
      <w:lvlJc w:val="left"/>
      <w:pPr>
        <w:ind w:left="5684" w:hanging="360"/>
      </w:pPr>
      <w:rPr>
        <w:rFonts w:ascii="Noto Sans Symbols" w:eastAsia="Noto Sans Symbols" w:hAnsi="Noto Sans Symbols" w:cs="Noto Sans Symbols"/>
        <w:sz w:val="20"/>
        <w:szCs w:val="20"/>
        <w:vertAlign w:val="baseline"/>
      </w:rPr>
    </w:lvl>
    <w:lvl w:ilvl="8">
      <w:start w:val="1"/>
      <w:numFmt w:val="bullet"/>
      <w:lvlText w:val="▪"/>
      <w:lvlJc w:val="left"/>
      <w:pPr>
        <w:ind w:left="6404" w:hanging="360"/>
      </w:pPr>
      <w:rPr>
        <w:rFonts w:ascii="Noto Sans Symbols" w:eastAsia="Noto Sans Symbols" w:hAnsi="Noto Sans Symbols" w:cs="Noto Sans Symbols"/>
        <w:sz w:val="20"/>
        <w:szCs w:val="20"/>
        <w:vertAlign w:val="baseline"/>
      </w:rPr>
    </w:lvl>
  </w:abstractNum>
  <w:abstractNum w:abstractNumId="27"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E102AB7"/>
    <w:multiLevelType w:val="multilevel"/>
    <w:tmpl w:val="F2D2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3F2F23F6"/>
    <w:multiLevelType w:val="multilevel"/>
    <w:tmpl w:val="A9C0B4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7AB3C10"/>
    <w:multiLevelType w:val="multilevel"/>
    <w:tmpl w:val="F0C42A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F5B1A74"/>
    <w:multiLevelType w:val="multilevel"/>
    <w:tmpl w:val="31087B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516A1F88"/>
    <w:multiLevelType w:val="hybridMultilevel"/>
    <w:tmpl w:val="C8087A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3"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54AC1DE2"/>
    <w:multiLevelType w:val="multilevel"/>
    <w:tmpl w:val="343C68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639044D"/>
    <w:multiLevelType w:val="hybridMultilevel"/>
    <w:tmpl w:val="518E086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7"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586B42DA"/>
    <w:multiLevelType w:val="multilevel"/>
    <w:tmpl w:val="E1F04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8D086F"/>
    <w:multiLevelType w:val="multilevel"/>
    <w:tmpl w:val="807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1C877C6"/>
    <w:multiLevelType w:val="multilevel"/>
    <w:tmpl w:val="7A462D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67A61F33"/>
    <w:multiLevelType w:val="multilevel"/>
    <w:tmpl w:val="5C3A80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CB47C83"/>
    <w:multiLevelType w:val="multilevel"/>
    <w:tmpl w:val="EAC65106"/>
    <w:lvl w:ilvl="0">
      <w:numFmt w:val="bullet"/>
      <w:lvlText w:val="●"/>
      <w:lvlJc w:val="left"/>
      <w:pPr>
        <w:ind w:left="479" w:hanging="360"/>
      </w:pPr>
      <w:rPr>
        <w:rFonts w:ascii="Calibri" w:eastAsia="Calibri" w:hAnsi="Calibri" w:cs="Calibri"/>
        <w:sz w:val="24"/>
        <w:szCs w:val="24"/>
        <w:vertAlign w:val="baseline"/>
      </w:rPr>
    </w:lvl>
    <w:lvl w:ilvl="1">
      <w:numFmt w:val="bullet"/>
      <w:lvlText w:val="•"/>
      <w:lvlJc w:val="left"/>
      <w:pPr>
        <w:ind w:left="1342" w:hanging="360"/>
      </w:pPr>
      <w:rPr>
        <w:vertAlign w:val="baseline"/>
      </w:rPr>
    </w:lvl>
    <w:lvl w:ilvl="2">
      <w:numFmt w:val="bullet"/>
      <w:lvlText w:val="•"/>
      <w:lvlJc w:val="left"/>
      <w:pPr>
        <w:ind w:left="2204" w:hanging="360"/>
      </w:pPr>
      <w:rPr>
        <w:vertAlign w:val="baseline"/>
      </w:rPr>
    </w:lvl>
    <w:lvl w:ilvl="3">
      <w:numFmt w:val="bullet"/>
      <w:lvlText w:val="•"/>
      <w:lvlJc w:val="left"/>
      <w:pPr>
        <w:ind w:left="3066" w:hanging="360"/>
      </w:pPr>
      <w:rPr>
        <w:vertAlign w:val="baseline"/>
      </w:rPr>
    </w:lvl>
    <w:lvl w:ilvl="4">
      <w:numFmt w:val="bullet"/>
      <w:lvlText w:val="•"/>
      <w:lvlJc w:val="left"/>
      <w:pPr>
        <w:ind w:left="3928" w:hanging="360"/>
      </w:pPr>
      <w:rPr>
        <w:vertAlign w:val="baseline"/>
      </w:rPr>
    </w:lvl>
    <w:lvl w:ilvl="5">
      <w:numFmt w:val="bullet"/>
      <w:lvlText w:val="•"/>
      <w:lvlJc w:val="left"/>
      <w:pPr>
        <w:ind w:left="4790" w:hanging="360"/>
      </w:pPr>
      <w:rPr>
        <w:vertAlign w:val="baseline"/>
      </w:rPr>
    </w:lvl>
    <w:lvl w:ilvl="6">
      <w:numFmt w:val="bullet"/>
      <w:lvlText w:val="•"/>
      <w:lvlJc w:val="left"/>
      <w:pPr>
        <w:ind w:left="5652" w:hanging="360"/>
      </w:pPr>
      <w:rPr>
        <w:vertAlign w:val="baseline"/>
      </w:rPr>
    </w:lvl>
    <w:lvl w:ilvl="7">
      <w:numFmt w:val="bullet"/>
      <w:lvlText w:val="•"/>
      <w:lvlJc w:val="left"/>
      <w:pPr>
        <w:ind w:left="6514" w:hanging="360"/>
      </w:pPr>
      <w:rPr>
        <w:vertAlign w:val="baseline"/>
      </w:rPr>
    </w:lvl>
    <w:lvl w:ilvl="8">
      <w:numFmt w:val="bullet"/>
      <w:lvlText w:val="•"/>
      <w:lvlJc w:val="left"/>
      <w:pPr>
        <w:ind w:left="7376" w:hanging="360"/>
      </w:pPr>
      <w:rPr>
        <w:vertAlign w:val="baseline"/>
      </w:rPr>
    </w:lvl>
  </w:abstractNum>
  <w:abstractNum w:abstractNumId="62" w15:restartNumberingAfterBreak="0">
    <w:nsid w:val="6E3005B7"/>
    <w:multiLevelType w:val="multilevel"/>
    <w:tmpl w:val="002ACA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ED53B54"/>
    <w:multiLevelType w:val="multilevel"/>
    <w:tmpl w:val="97A06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71372852"/>
    <w:multiLevelType w:val="multilevel"/>
    <w:tmpl w:val="0BDC6D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6" w15:restartNumberingAfterBreak="0">
    <w:nsid w:val="72A02E1F"/>
    <w:multiLevelType w:val="multilevel"/>
    <w:tmpl w:val="18A61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15:restartNumberingAfterBreak="0">
    <w:nsid w:val="7BEC5CED"/>
    <w:multiLevelType w:val="multilevel"/>
    <w:tmpl w:val="881C42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12"/>
  </w:num>
  <w:num w:numId="2" w16cid:durableId="1396394489">
    <w:abstractNumId w:val="39"/>
  </w:num>
  <w:num w:numId="3" w16cid:durableId="1453089526">
    <w:abstractNumId w:val="27"/>
  </w:num>
  <w:num w:numId="4" w16cid:durableId="73086089">
    <w:abstractNumId w:val="3"/>
  </w:num>
  <w:num w:numId="5" w16cid:durableId="1859005645">
    <w:abstractNumId w:val="60"/>
  </w:num>
  <w:num w:numId="6" w16cid:durableId="700862815">
    <w:abstractNumId w:val="17"/>
  </w:num>
  <w:num w:numId="7" w16cid:durableId="712197340">
    <w:abstractNumId w:val="36"/>
  </w:num>
  <w:num w:numId="8" w16cid:durableId="1552764655">
    <w:abstractNumId w:val="64"/>
  </w:num>
  <w:num w:numId="9" w16cid:durableId="1730155739">
    <w:abstractNumId w:val="58"/>
  </w:num>
  <w:num w:numId="10" w16cid:durableId="222643060">
    <w:abstractNumId w:val="4"/>
  </w:num>
  <w:num w:numId="11" w16cid:durableId="1010256410">
    <w:abstractNumId w:val="30"/>
  </w:num>
  <w:num w:numId="12" w16cid:durableId="40137174">
    <w:abstractNumId w:val="49"/>
  </w:num>
  <w:num w:numId="13" w16cid:durableId="1480414254">
    <w:abstractNumId w:val="67"/>
  </w:num>
  <w:num w:numId="14" w16cid:durableId="1070813161">
    <w:abstractNumId w:val="13"/>
  </w:num>
  <w:num w:numId="15" w16cid:durableId="1656106609">
    <w:abstractNumId w:val="9"/>
  </w:num>
  <w:num w:numId="16" w16cid:durableId="517932539">
    <w:abstractNumId w:val="45"/>
  </w:num>
  <w:num w:numId="17" w16cid:durableId="1622299777">
    <w:abstractNumId w:val="51"/>
  </w:num>
  <w:num w:numId="18" w16cid:durableId="484277685">
    <w:abstractNumId w:val="59"/>
  </w:num>
  <w:num w:numId="19" w16cid:durableId="144708094">
    <w:abstractNumId w:val="1"/>
  </w:num>
  <w:num w:numId="20" w16cid:durableId="42755322">
    <w:abstractNumId w:val="35"/>
  </w:num>
  <w:num w:numId="21" w16cid:durableId="1905145564">
    <w:abstractNumId w:val="23"/>
  </w:num>
  <w:num w:numId="22" w16cid:durableId="817964108">
    <w:abstractNumId w:val="55"/>
  </w:num>
  <w:num w:numId="23" w16cid:durableId="1400593496">
    <w:abstractNumId w:val="32"/>
  </w:num>
  <w:num w:numId="24" w16cid:durableId="1727486029">
    <w:abstractNumId w:val="43"/>
  </w:num>
  <w:num w:numId="25" w16cid:durableId="1006177461">
    <w:abstractNumId w:val="24"/>
  </w:num>
  <w:num w:numId="26" w16cid:durableId="1718774160">
    <w:abstractNumId w:val="8"/>
  </w:num>
  <w:num w:numId="27" w16cid:durableId="668287310">
    <w:abstractNumId w:val="5"/>
  </w:num>
  <w:num w:numId="28" w16cid:durableId="677733384">
    <w:abstractNumId w:val="54"/>
  </w:num>
  <w:num w:numId="29" w16cid:durableId="1335572895">
    <w:abstractNumId w:val="68"/>
  </w:num>
  <w:num w:numId="30" w16cid:durableId="808589738">
    <w:abstractNumId w:val="48"/>
  </w:num>
  <w:num w:numId="31" w16cid:durableId="719403312">
    <w:abstractNumId w:val="47"/>
  </w:num>
  <w:num w:numId="32" w16cid:durableId="1235969812">
    <w:abstractNumId w:val="37"/>
  </w:num>
  <w:num w:numId="33" w16cid:durableId="1258637859">
    <w:abstractNumId w:val="71"/>
  </w:num>
  <w:num w:numId="34" w16cid:durableId="1685746563">
    <w:abstractNumId w:val="29"/>
  </w:num>
  <w:num w:numId="35" w16cid:durableId="220486102">
    <w:abstractNumId w:val="11"/>
  </w:num>
  <w:num w:numId="36" w16cid:durableId="1466000633">
    <w:abstractNumId w:val="25"/>
  </w:num>
  <w:num w:numId="37" w16cid:durableId="1213273241">
    <w:abstractNumId w:val="69"/>
  </w:num>
  <w:num w:numId="38" w16cid:durableId="399328229">
    <w:abstractNumId w:val="16"/>
  </w:num>
  <w:num w:numId="39" w16cid:durableId="2085714376">
    <w:abstractNumId w:val="38"/>
  </w:num>
  <w:num w:numId="40" w16cid:durableId="1745566766">
    <w:abstractNumId w:val="41"/>
  </w:num>
  <w:num w:numId="41" w16cid:durableId="1707216770">
    <w:abstractNumId w:val="56"/>
  </w:num>
  <w:num w:numId="42" w16cid:durableId="1147088464">
    <w:abstractNumId w:val="33"/>
  </w:num>
  <w:num w:numId="43" w16cid:durableId="667513537">
    <w:abstractNumId w:val="65"/>
  </w:num>
  <w:num w:numId="44" w16cid:durableId="1720664784">
    <w:abstractNumId w:val="26"/>
  </w:num>
  <w:num w:numId="45" w16cid:durableId="1909682137">
    <w:abstractNumId w:val="66"/>
  </w:num>
  <w:num w:numId="46" w16cid:durableId="1058629297">
    <w:abstractNumId w:val="63"/>
  </w:num>
  <w:num w:numId="47" w16cid:durableId="1005323039">
    <w:abstractNumId w:val="0"/>
  </w:num>
  <w:num w:numId="48" w16cid:durableId="734084630">
    <w:abstractNumId w:val="61"/>
  </w:num>
  <w:num w:numId="49" w16cid:durableId="387337914">
    <w:abstractNumId w:val="20"/>
  </w:num>
  <w:num w:numId="50" w16cid:durableId="2007247381">
    <w:abstractNumId w:val="19"/>
  </w:num>
  <w:num w:numId="51" w16cid:durableId="1929146002">
    <w:abstractNumId w:val="40"/>
  </w:num>
  <w:num w:numId="52" w16cid:durableId="1127427638">
    <w:abstractNumId w:val="7"/>
  </w:num>
  <w:num w:numId="53" w16cid:durableId="975061179">
    <w:abstractNumId w:val="31"/>
  </w:num>
  <w:num w:numId="54" w16cid:durableId="1046567517">
    <w:abstractNumId w:val="44"/>
  </w:num>
  <w:num w:numId="55" w16cid:durableId="2022849039">
    <w:abstractNumId w:val="50"/>
  </w:num>
  <w:num w:numId="56" w16cid:durableId="1843155233">
    <w:abstractNumId w:val="57"/>
  </w:num>
  <w:num w:numId="57" w16cid:durableId="291909629">
    <w:abstractNumId w:val="2"/>
  </w:num>
  <w:num w:numId="58" w16cid:durableId="1486819351">
    <w:abstractNumId w:val="21"/>
  </w:num>
  <w:num w:numId="59" w16cid:durableId="920676308">
    <w:abstractNumId w:val="34"/>
  </w:num>
  <w:num w:numId="60" w16cid:durableId="837959012">
    <w:abstractNumId w:val="10"/>
  </w:num>
  <w:num w:numId="61" w16cid:durableId="1363820540">
    <w:abstractNumId w:val="28"/>
  </w:num>
  <w:num w:numId="62" w16cid:durableId="1647971713">
    <w:abstractNumId w:val="15"/>
  </w:num>
  <w:num w:numId="63" w16cid:durableId="1442913653">
    <w:abstractNumId w:val="52"/>
  </w:num>
  <w:num w:numId="64" w16cid:durableId="930163892">
    <w:abstractNumId w:val="70"/>
  </w:num>
  <w:num w:numId="65" w16cid:durableId="606734230">
    <w:abstractNumId w:val="14"/>
  </w:num>
  <w:num w:numId="66" w16cid:durableId="1987473483">
    <w:abstractNumId w:val="53"/>
  </w:num>
  <w:num w:numId="67" w16cid:durableId="430128204">
    <w:abstractNumId w:val="62"/>
  </w:num>
  <w:num w:numId="68" w16cid:durableId="556867276">
    <w:abstractNumId w:val="22"/>
  </w:num>
  <w:num w:numId="69" w16cid:durableId="687411949">
    <w:abstractNumId w:val="18"/>
  </w:num>
  <w:num w:numId="70" w16cid:durableId="1162695133">
    <w:abstractNumId w:val="42"/>
  </w:num>
  <w:num w:numId="71" w16cid:durableId="1280333077">
    <w:abstractNumId w:val="46"/>
  </w:num>
  <w:num w:numId="72" w16cid:durableId="1929121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14322"/>
    <w:rsid w:val="000D7DFA"/>
    <w:rsid w:val="000E7226"/>
    <w:rsid w:val="003442D5"/>
    <w:rsid w:val="00623E7E"/>
    <w:rsid w:val="00852AE4"/>
    <w:rsid w:val="00922971"/>
    <w:rsid w:val="009B1F4D"/>
    <w:rsid w:val="00AE584A"/>
    <w:rsid w:val="00BD31F7"/>
    <w:rsid w:val="00D667E8"/>
    <w:rsid w:val="00D9340F"/>
    <w:rsid w:val="00E06B99"/>
    <w:rsid w:val="00E26922"/>
    <w:rsid w:val="00EB0484"/>
    <w:rsid w:val="00EC0EEE"/>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rsid w:val="00F218B1"/>
    <w:rPr>
      <w:rFonts w:eastAsiaTheme="majorEastAsia" w:cstheme="majorBidi"/>
      <w:color w:val="2F5496" w:themeColor="accent1" w:themeShade="BF"/>
    </w:rPr>
  </w:style>
  <w:style w:type="character" w:customStyle="1" w:styleId="Ttulo6Car">
    <w:name w:val="Título 6 Car"/>
    <w:basedOn w:val="Fuentedeprrafopredeter"/>
    <w:link w:val="Ttulo6"/>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 w:type="table" w:customStyle="1" w:styleId="TableNormal">
    <w:name w:val="Table Normal"/>
    <w:rsid w:val="00014322"/>
    <w:pPr>
      <w:spacing w:after="0" w:line="240" w:lineRule="auto"/>
    </w:pPr>
    <w:rPr>
      <w:rFonts w:ascii="Times New Roman" w:eastAsia="Times New Roman" w:hAnsi="Times New Roman" w:cs="Times New Roman"/>
      <w:kern w:val="0"/>
      <w:sz w:val="20"/>
      <w:szCs w:val="20"/>
      <w:lang w:eastAsia="es-CO"/>
      <w14:ligatures w14:val="none"/>
    </w:rPr>
    <w:tblPr>
      <w:tblCellMar>
        <w:top w:w="0" w:type="dxa"/>
        <w:left w:w="0" w:type="dxa"/>
        <w:bottom w:w="0" w:type="dxa"/>
        <w:right w:w="0" w:type="dxa"/>
      </w:tblCellMar>
    </w:tblPr>
  </w:style>
  <w:style w:type="paragraph" w:styleId="Encabezado">
    <w:name w:val="header"/>
    <w:basedOn w:val="Normal"/>
    <w:link w:val="Encabezado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EncabezadoCar">
    <w:name w:val="Encabezado Car"/>
    <w:basedOn w:val="Fuentedeprrafopredeter"/>
    <w:link w:val="Encabezado"/>
    <w:rsid w:val="00014322"/>
    <w:rPr>
      <w:rFonts w:ascii="Arial" w:eastAsia="Arial" w:hAnsi="Arial" w:cs="Arial"/>
      <w:kern w:val="0"/>
      <w:lang w:val="es" w:eastAsia="es-CO"/>
      <w14:ligatures w14:val="none"/>
    </w:rPr>
  </w:style>
  <w:style w:type="paragraph" w:styleId="Piedepgina">
    <w:name w:val="footer"/>
    <w:basedOn w:val="Normal"/>
    <w:link w:val="Piedepgina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PiedepginaCar">
    <w:name w:val="Pie de página Car"/>
    <w:basedOn w:val="Fuentedeprrafopredeter"/>
    <w:link w:val="Piedepgina"/>
    <w:rsid w:val="00014322"/>
    <w:rPr>
      <w:rFonts w:ascii="Arial" w:eastAsia="Arial" w:hAnsi="Arial" w:cs="Arial"/>
      <w:kern w:val="0"/>
      <w:lang w:val="es" w:eastAsia="es-CO"/>
      <w14:ligatures w14:val="none"/>
    </w:rPr>
  </w:style>
  <w:style w:type="paragraph" w:customStyle="1" w:styleId="Default">
    <w:name w:val="Default"/>
    <w:link w:val="DefaultCar"/>
    <w:rsid w:val="00014322"/>
    <w:pPr>
      <w:autoSpaceDE w:val="0"/>
      <w:autoSpaceDN w:val="0"/>
      <w:adjustRightInd w:val="0"/>
      <w:spacing w:after="0" w:line="240" w:lineRule="auto"/>
    </w:pPr>
    <w:rPr>
      <w:rFonts w:ascii="Arial" w:eastAsia="Calibri" w:hAnsi="Arial" w:cs="Times New Roman"/>
      <w:color w:val="000000"/>
      <w:kern w:val="0"/>
      <w:sz w:val="24"/>
      <w:szCs w:val="24"/>
      <w:lang w:eastAsia="es-CO"/>
      <w14:ligatures w14:val="none"/>
    </w:rPr>
  </w:style>
  <w:style w:type="character" w:customStyle="1" w:styleId="DefaultCar">
    <w:name w:val="Default Car"/>
    <w:link w:val="Default"/>
    <w:rsid w:val="00014322"/>
    <w:rPr>
      <w:rFonts w:ascii="Arial" w:eastAsia="Calibri" w:hAnsi="Arial" w:cs="Times New Roman"/>
      <w:color w:val="000000"/>
      <w:kern w:val="0"/>
      <w:sz w:val="24"/>
      <w:szCs w:val="24"/>
      <w:lang w:eastAsia="es-CO"/>
      <w14:ligatures w14:val="none"/>
    </w:rPr>
  </w:style>
  <w:style w:type="paragraph" w:customStyle="1" w:styleId="Formatolibre">
    <w:name w:val="Formato libre"/>
    <w:rsid w:val="00014322"/>
    <w:pPr>
      <w:spacing w:after="0" w:line="240" w:lineRule="auto"/>
    </w:pPr>
    <w:rPr>
      <w:rFonts w:ascii="Helvetica" w:eastAsia="ヒラギノ角ゴ Pro W3" w:hAnsi="Helvetica" w:cs="Times New Roman"/>
      <w:color w:val="000000"/>
      <w:kern w:val="0"/>
      <w:sz w:val="24"/>
      <w:szCs w:val="20"/>
      <w:lang w:val="es-ES_tradnl" w:eastAsia="es-ES_tradnl"/>
      <w14:ligatures w14:val="none"/>
    </w:rPr>
  </w:style>
  <w:style w:type="character" w:styleId="Refdecomentario">
    <w:name w:val="annotation reference"/>
    <w:unhideWhenUsed/>
    <w:qFormat/>
    <w:rsid w:val="00014322"/>
    <w:rPr>
      <w:sz w:val="16"/>
      <w:szCs w:val="16"/>
    </w:rPr>
  </w:style>
  <w:style w:type="paragraph" w:styleId="Textocomentario">
    <w:name w:val="annotation text"/>
    <w:basedOn w:val="Normal"/>
    <w:link w:val="TextocomentarioCar"/>
    <w:unhideWhenUsed/>
    <w:qFormat/>
    <w:rsid w:val="00014322"/>
    <w:pPr>
      <w:spacing w:line="276" w:lineRule="auto"/>
    </w:pPr>
    <w:rPr>
      <w:rFonts w:ascii="Arial" w:eastAsia="Arial" w:hAnsi="Arial" w:cs="Arial"/>
      <w:lang w:val="es"/>
    </w:rPr>
  </w:style>
  <w:style w:type="character" w:customStyle="1" w:styleId="TextocomentarioCar">
    <w:name w:val="Texto comentario Car"/>
    <w:basedOn w:val="Fuentedeprrafopredeter"/>
    <w:link w:val="Textocomentario"/>
    <w:rsid w:val="00014322"/>
    <w:rPr>
      <w:rFonts w:ascii="Arial" w:eastAsia="Arial" w:hAnsi="Arial" w:cs="Arial"/>
      <w:kern w:val="0"/>
      <w:sz w:val="20"/>
      <w:szCs w:val="20"/>
      <w:lang w:val="es" w:eastAsia="es-CO"/>
      <w14:ligatures w14:val="none"/>
    </w:rPr>
  </w:style>
  <w:style w:type="paragraph" w:styleId="Asuntodelcomentario">
    <w:name w:val="annotation subject"/>
    <w:basedOn w:val="Textocomentario"/>
    <w:next w:val="Textocomentario"/>
    <w:link w:val="AsuntodelcomentarioCar"/>
    <w:unhideWhenUsed/>
    <w:qFormat/>
    <w:rsid w:val="00014322"/>
    <w:rPr>
      <w:b/>
      <w:bCs/>
    </w:rPr>
  </w:style>
  <w:style w:type="character" w:customStyle="1" w:styleId="AsuntodelcomentarioCar">
    <w:name w:val="Asunto del comentario Car"/>
    <w:basedOn w:val="TextocomentarioCar"/>
    <w:link w:val="Asuntodelcomentario"/>
    <w:rsid w:val="00014322"/>
    <w:rPr>
      <w:rFonts w:ascii="Arial" w:eastAsia="Arial" w:hAnsi="Arial" w:cs="Arial"/>
      <w:b/>
      <w:bCs/>
      <w:kern w:val="0"/>
      <w:sz w:val="20"/>
      <w:szCs w:val="20"/>
      <w:lang w:val="es" w:eastAsia="es-CO"/>
      <w14:ligatures w14:val="none"/>
    </w:rPr>
  </w:style>
  <w:style w:type="paragraph" w:styleId="Textodeglobo">
    <w:name w:val="Balloon Text"/>
    <w:basedOn w:val="Normal"/>
    <w:link w:val="TextodegloboCar"/>
    <w:unhideWhenUsed/>
    <w:qFormat/>
    <w:rsid w:val="00014322"/>
    <w:rPr>
      <w:rFonts w:ascii="Segoe UI" w:eastAsia="Arial" w:hAnsi="Segoe UI" w:cs="Segoe UI"/>
      <w:sz w:val="18"/>
      <w:szCs w:val="18"/>
      <w:lang w:val="es"/>
    </w:rPr>
  </w:style>
  <w:style w:type="character" w:customStyle="1" w:styleId="TextodegloboCar">
    <w:name w:val="Texto de globo Car"/>
    <w:basedOn w:val="Fuentedeprrafopredeter"/>
    <w:link w:val="Textodeglobo"/>
    <w:rsid w:val="00014322"/>
    <w:rPr>
      <w:rFonts w:ascii="Segoe UI" w:eastAsia="Arial" w:hAnsi="Segoe UI" w:cs="Segoe UI"/>
      <w:kern w:val="0"/>
      <w:sz w:val="18"/>
      <w:szCs w:val="18"/>
      <w:lang w:val="es" w:eastAsia="es-CO"/>
      <w14:ligatures w14:val="none"/>
    </w:rPr>
  </w:style>
  <w:style w:type="character" w:customStyle="1" w:styleId="Mencinsinresolver1">
    <w:name w:val="Mención sin resolver1"/>
    <w:uiPriority w:val="99"/>
    <w:semiHidden/>
    <w:unhideWhenUsed/>
    <w:rsid w:val="00014322"/>
    <w:rPr>
      <w:color w:val="605E5C"/>
      <w:shd w:val="clear" w:color="auto" w:fill="E1DFDD"/>
    </w:rPr>
  </w:style>
  <w:style w:type="paragraph" w:customStyle="1" w:styleId="Puesto1">
    <w:name w:val="Puesto1"/>
    <w:basedOn w:val="Normal"/>
    <w:next w:val="Normal"/>
    <w:rsid w:val="00014322"/>
    <w:pPr>
      <w:keepNext/>
      <w:keepLines/>
      <w:suppressAutoHyphens/>
      <w:spacing w:after="60" w:line="276" w:lineRule="auto"/>
      <w:ind w:leftChars="-1" w:left="-1" w:hangingChars="1" w:hanging="1"/>
      <w:textDirection w:val="btLr"/>
      <w:textAlignment w:val="top"/>
      <w:outlineLvl w:val="0"/>
    </w:pPr>
    <w:rPr>
      <w:rFonts w:ascii="Arial" w:eastAsia="Arial" w:hAnsi="Arial" w:cs="Arial"/>
      <w:position w:val="-1"/>
      <w:sz w:val="52"/>
      <w:szCs w:val="52"/>
    </w:rPr>
  </w:style>
  <w:style w:type="character" w:styleId="Hipervnculovisitado">
    <w:name w:val="FollowedHyperlink"/>
    <w:qFormat/>
    <w:rsid w:val="00014322"/>
    <w:rPr>
      <w:color w:val="954F72"/>
      <w:w w:val="100"/>
      <w:position w:val="-1"/>
      <w:u w:val="single"/>
      <w:effect w:val="none"/>
      <w:vertAlign w:val="baseline"/>
      <w:cs w:val="0"/>
      <w:em w:val="none"/>
    </w:rPr>
  </w:style>
  <w:style w:type="paragraph" w:styleId="Textoindependiente">
    <w:name w:val="Body Text"/>
    <w:basedOn w:val="Normal"/>
    <w:link w:val="TextoindependienteCar"/>
    <w:rsid w:val="00014322"/>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014322"/>
    <w:rPr>
      <w:rFonts w:ascii="Times New Roman" w:eastAsia="Times New Roman" w:hAnsi="Times New Roman" w:cs="Times New Roman"/>
      <w:kern w:val="0"/>
      <w:position w:val="-1"/>
      <w:sz w:val="24"/>
      <w:szCs w:val="24"/>
      <w:lang w:val="es-ES"/>
      <w14:ligatures w14:val="none"/>
    </w:rPr>
  </w:style>
  <w:style w:type="paragraph" w:customStyle="1" w:styleId="TableParagraph">
    <w:name w:val="Table Paragraph"/>
    <w:basedOn w:val="Normal"/>
    <w:rsid w:val="00014322"/>
    <w:pPr>
      <w:widowControl w:val="0"/>
      <w:suppressAutoHyphens/>
      <w:autoSpaceDE w:val="0"/>
      <w:autoSpaceDN w:val="0"/>
      <w:ind w:leftChars="-1" w:left="-1" w:hangingChars="1" w:hanging="1"/>
      <w:textDirection w:val="btLr"/>
      <w:textAlignment w:val="top"/>
      <w:outlineLvl w:val="0"/>
    </w:pPr>
    <w:rPr>
      <w:rFonts w:ascii="Verdana" w:eastAsia="Verdana" w:hAnsi="Verdana" w:cs="Verdana"/>
      <w:position w:val="-1"/>
      <w:sz w:val="22"/>
      <w:szCs w:val="22"/>
      <w:lang w:val="es-ES" w:eastAsia="en-US"/>
    </w:rPr>
  </w:style>
  <w:style w:type="table" w:customStyle="1" w:styleId="TableNormal1">
    <w:name w:val="Table Normal1"/>
    <w:qFormat/>
    <w:rsid w:val="00014322"/>
    <w:pPr>
      <w:widowControl w:val="0"/>
      <w:suppressAutoHyphens/>
      <w:autoSpaceDE w:val="0"/>
      <w:autoSpaceDN w:val="0"/>
      <w:spacing w:after="0" w:line="1" w:lineRule="atLeast"/>
      <w:ind w:leftChars="-1" w:left="-1" w:hangingChars="1" w:hanging="1"/>
      <w:textDirection w:val="btLr"/>
      <w:textAlignment w:val="top"/>
      <w:outlineLvl w:val="0"/>
    </w:pPr>
    <w:rPr>
      <w:rFonts w:ascii="Calibri" w:eastAsia="Calibri" w:hAnsi="Calibri" w:cs="Times New Roman"/>
      <w:kern w:val="0"/>
      <w:position w:val="-1"/>
      <w:lang w:val="en-US"/>
      <w14:ligatures w14:val="none"/>
    </w:rPr>
    <w:tblPr>
      <w:tblInd w:w="0" w:type="dxa"/>
      <w:tblCellMar>
        <w:top w:w="0" w:type="dxa"/>
        <w:left w:w="0" w:type="dxa"/>
        <w:bottom w:w="0" w:type="dxa"/>
        <w:right w:w="0" w:type="dxa"/>
      </w:tblCellMar>
    </w:tblPr>
  </w:style>
  <w:style w:type="character" w:styleId="Textodelmarcadordeposicin">
    <w:name w:val="Placeholder Text"/>
    <w:uiPriority w:val="99"/>
    <w:semiHidden/>
    <w:rsid w:val="00014322"/>
    <w:rPr>
      <w:color w:val="808080"/>
    </w:rPr>
  </w:style>
  <w:style w:type="character" w:customStyle="1" w:styleId="cf01">
    <w:name w:val="cf01"/>
    <w:basedOn w:val="Fuentedeprrafopredeter"/>
    <w:rsid w:val="00014322"/>
    <w:rPr>
      <w:rFonts w:ascii="Segoe UI" w:hAnsi="Segoe UI" w:cs="Segoe UI" w:hint="default"/>
      <w:b/>
      <w:bCs/>
      <w:sz w:val="18"/>
      <w:szCs w:val="18"/>
    </w:rPr>
  </w:style>
  <w:style w:type="character" w:styleId="Mencinsinresolver">
    <w:name w:val="Unresolved Mention"/>
    <w:basedOn w:val="Fuentedeprrafopredeter"/>
    <w:uiPriority w:val="99"/>
    <w:semiHidden/>
    <w:unhideWhenUsed/>
    <w:rsid w:val="0001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blio.ucalda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aldas.edu.co/portal/wp-content/uploads/2019/06/Cartilla_Educacio%CC%81n_a_Distancia_2019DIGITAL-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2473</Words>
  <Characters>13604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2024-09-01T20:09:00Z</dcterms:created>
  <dcterms:modified xsi:type="dcterms:W3CDTF">2025-05-17T14:01:00Z</dcterms:modified>
</cp:coreProperties>
</file>