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in einem Modell und dem Output, insbesondere wenn auf der Basis des Outputs Entscheidungen getroffen werden?</w:t>
      </w:r>
    </w:p>
    <w:p>
      <w:pPr>
        <w:pStyle w:val="BodyText"/>
      </w:pPr>
      <w:r>
        <w:rPr>
          <w:iCs/>
          <w:i/>
        </w:rPr>
        <w:t xml:space="preserve">Reflexionsfragen</w:t>
      </w:r>
      <w:r>
        <w:t xml:space="preserve"> </w:t>
      </w:r>
      <w:r>
        <w:t xml:space="preserve">- Wie stellt meine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sie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und Capacity Buildings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auch die Diskussion um die Ebene, auf der eine mögliche Regulierung stattfinden kann, wenn sie wirksam sein sollte: National, Europäisch, international oder branchenbezogen für besonders sensible Bereiche? Welche Rolle können in dem Zusammenhang freiwillige Selbstverpflichtungen spielen?</w:t>
      </w:r>
    </w:p>
    <w:p>
      <w:pPr>
        <w:pStyle w:val="BodyText"/>
      </w:pPr>
      <w:r>
        <w:rPr>
          <w:iCs/>
          <w:i/>
        </w:rPr>
        <w:t xml:space="preserve">Reflexionsfragen</w:t>
      </w:r>
      <w:r>
        <w:t xml:space="preserve"> </w:t>
      </w:r>
      <w:r>
        <w:t xml:space="preserve">- Wo könnten in meinem Unternehmen regulierungsbedürftige Risiken bestehen?</w:t>
      </w:r>
      <w:r>
        <w:t xml:space="preserve"> </w:t>
      </w:r>
      <w:r>
        <w:t xml:space="preserve">- Gibt es bereits interne Regeln oder Prinzipien für verantwortungsvolle KI in meiner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88"/>
    <w:bookmarkStart w:id="8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2023-11-01T15:42:24Z</dcterms:created>
  <dcterms:modified xsi:type="dcterms:W3CDTF">2023-11-01T15:42:24Z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