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die Kategorien und Tools in Ruhe an und überlege, welche Anwendungsfelder sich für deinen Arbeitsplatz / dein Projekt / dein Thema ergeben.</w:t>
      </w:r>
    </w:p>
    <w:p>
      <w:pPr>
        <w:pStyle w:val="BodyText"/>
      </w:pPr>
      <w:r>
        <w:t xml:space="preserve">Verschaffe Dir Zugang zu jeweils einem Tool aus jeder Kategorie und teste sie aus. Versuche - unbenommen von den unterschiedlichen Anwedungsfeldern - Gemeinsamkeiten und spezifische Unterschiede zwischen den Tools zu erkennen und notiere sie für Dich.</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2024-01-22T10:18:24Z</dcterms:created>
  <dcterms:modified xsi:type="dcterms:W3CDTF">2024-01-22T10:18:24Z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