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DF8" w:rsidRPr="00982DF8" w:rsidRDefault="00982DF8" w:rsidP="00982DF8">
      <w:pPr>
        <w:pStyle w:val="af4"/>
        <w:rPr>
          <w:lang w:val="en-US"/>
        </w:rPr>
      </w:pPr>
      <w:r>
        <w:rPr>
          <w:lang w:val="en-US"/>
        </w:rPr>
        <w:t>TABLE OF CONTENTS</w:t>
      </w:r>
    </w:p>
    <w:p w:rsidR="00843573" w:rsidRDefault="00794728">
      <w:pPr>
        <w:pStyle w:val="21"/>
        <w:rPr>
          <w:rFonts w:asciiTheme="minorHAnsi" w:eastAsiaTheme="minorEastAsia" w:hAnsiTheme="minorHAnsi" w:cstheme="minorBidi"/>
          <w:sz w:val="22"/>
          <w:szCs w:val="22"/>
        </w:rPr>
      </w:pPr>
      <w:r w:rsidRPr="00F06933">
        <w:rPr>
          <w:caps/>
        </w:rPr>
        <w:fldChar w:fldCharType="begin"/>
      </w:r>
      <w:r>
        <w:instrText xml:space="preserve"> TOC \o "1-3" \h \z \u </w:instrText>
      </w:r>
      <w:r w:rsidRPr="00F06933">
        <w:rPr>
          <w:caps/>
        </w:rPr>
        <w:fldChar w:fldCharType="separate"/>
      </w:r>
      <w:hyperlink w:anchor="_Toc214551806" w:history="1">
        <w:r w:rsidR="00843573" w:rsidRPr="000B6B04">
          <w:rPr>
            <w:rStyle w:val="aff"/>
          </w:rPr>
          <w:t>1.1</w:t>
        </w:r>
        <w:r w:rsidR="00843573">
          <w:rPr>
            <w:rFonts w:asciiTheme="minorHAnsi" w:eastAsiaTheme="minorEastAsia" w:hAnsiTheme="minorHAnsi" w:cstheme="minorBidi"/>
            <w:sz w:val="22"/>
            <w:szCs w:val="22"/>
          </w:rPr>
          <w:tab/>
        </w:r>
        <w:r w:rsidR="00843573" w:rsidRPr="000B6B04">
          <w:rPr>
            <w:rStyle w:val="aff"/>
          </w:rPr>
          <w:t>Introduction</w:t>
        </w:r>
        <w:r w:rsidR="00843573">
          <w:rPr>
            <w:webHidden/>
          </w:rPr>
          <w:tab/>
        </w:r>
        <w:r w:rsidR="00843573">
          <w:rPr>
            <w:webHidden/>
          </w:rPr>
          <w:fldChar w:fldCharType="begin"/>
        </w:r>
        <w:r w:rsidR="00843573">
          <w:rPr>
            <w:webHidden/>
          </w:rPr>
          <w:instrText xml:space="preserve"> PAGEREF _Toc214551806 \h </w:instrText>
        </w:r>
        <w:r w:rsidR="00843573">
          <w:rPr>
            <w:webHidden/>
          </w:rPr>
        </w:r>
        <w:r w:rsidR="00843573">
          <w:rPr>
            <w:webHidden/>
          </w:rPr>
          <w:fldChar w:fldCharType="separate"/>
        </w:r>
        <w:r w:rsidR="00843573">
          <w:rPr>
            <w:webHidden/>
          </w:rPr>
          <w:t>2</w:t>
        </w:r>
        <w:r w:rsidR="00843573">
          <w:rPr>
            <w:webHidden/>
          </w:rPr>
          <w:fldChar w:fldCharType="end"/>
        </w:r>
      </w:hyperlink>
    </w:p>
    <w:p w:rsidR="00843573" w:rsidRDefault="00843573">
      <w:pPr>
        <w:pStyle w:val="21"/>
        <w:rPr>
          <w:rFonts w:asciiTheme="minorHAnsi" w:eastAsiaTheme="minorEastAsia" w:hAnsiTheme="minorHAnsi" w:cstheme="minorBidi"/>
          <w:sz w:val="22"/>
          <w:szCs w:val="22"/>
        </w:rPr>
      </w:pPr>
      <w:hyperlink w:anchor="_Toc214551807" w:history="1">
        <w:r w:rsidRPr="000B6B04">
          <w:rPr>
            <w:rStyle w:val="aff"/>
            <w:lang w:val="en-US"/>
          </w:rPr>
          <w:t>1.2</w:t>
        </w:r>
        <w:r>
          <w:rPr>
            <w:rFonts w:asciiTheme="minorHAnsi" w:eastAsiaTheme="minorEastAsia" w:hAnsiTheme="minorHAnsi" w:cstheme="minorBidi"/>
            <w:sz w:val="22"/>
            <w:szCs w:val="22"/>
          </w:rPr>
          <w:tab/>
        </w:r>
        <w:r w:rsidRPr="000B6B04">
          <w:rPr>
            <w:rStyle w:val="aff"/>
            <w:lang w:val="en-US"/>
          </w:rPr>
          <w:t>The costs related to traceability systems and to the traceable unit</w:t>
        </w:r>
        <w:r>
          <w:rPr>
            <w:webHidden/>
          </w:rPr>
          <w:tab/>
        </w:r>
        <w:r>
          <w:rPr>
            <w:webHidden/>
          </w:rPr>
          <w:fldChar w:fldCharType="begin"/>
        </w:r>
        <w:r>
          <w:rPr>
            <w:webHidden/>
          </w:rPr>
          <w:instrText xml:space="preserve"> PAGEREF _Toc214551807 \h </w:instrText>
        </w:r>
        <w:r>
          <w:rPr>
            <w:webHidden/>
          </w:rPr>
        </w:r>
        <w:r>
          <w:rPr>
            <w:webHidden/>
          </w:rPr>
          <w:fldChar w:fldCharType="separate"/>
        </w:r>
        <w:r>
          <w:rPr>
            <w:webHidden/>
          </w:rPr>
          <w:t>4</w:t>
        </w:r>
        <w:r>
          <w:rPr>
            <w:webHidden/>
          </w:rPr>
          <w:fldChar w:fldCharType="end"/>
        </w:r>
      </w:hyperlink>
    </w:p>
    <w:p w:rsidR="00843573" w:rsidRDefault="00843573">
      <w:pPr>
        <w:pStyle w:val="21"/>
        <w:rPr>
          <w:rFonts w:asciiTheme="minorHAnsi" w:eastAsiaTheme="minorEastAsia" w:hAnsiTheme="minorHAnsi" w:cstheme="minorBidi"/>
          <w:sz w:val="22"/>
          <w:szCs w:val="22"/>
        </w:rPr>
      </w:pPr>
      <w:hyperlink w:anchor="_Toc214551808" w:history="1">
        <w:r w:rsidRPr="000B6B04">
          <w:rPr>
            <w:rStyle w:val="aff"/>
            <w:lang w:val="en-US"/>
          </w:rPr>
          <w:t>1.3</w:t>
        </w:r>
        <w:r>
          <w:rPr>
            <w:rFonts w:asciiTheme="minorHAnsi" w:eastAsiaTheme="minorEastAsia" w:hAnsiTheme="minorHAnsi" w:cstheme="minorBidi"/>
            <w:sz w:val="22"/>
            <w:szCs w:val="22"/>
          </w:rPr>
          <w:tab/>
        </w:r>
        <w:r w:rsidRPr="000B6B04">
          <w:rPr>
            <w:rStyle w:val="aff"/>
            <w:lang w:val="en-US"/>
          </w:rPr>
          <w:t>The RFID technology for traceability systems</w:t>
        </w:r>
        <w:r>
          <w:rPr>
            <w:webHidden/>
          </w:rPr>
          <w:tab/>
        </w:r>
        <w:r>
          <w:rPr>
            <w:webHidden/>
          </w:rPr>
          <w:fldChar w:fldCharType="begin"/>
        </w:r>
        <w:r>
          <w:rPr>
            <w:webHidden/>
          </w:rPr>
          <w:instrText xml:space="preserve"> PAGEREF _Toc214551808 \h </w:instrText>
        </w:r>
        <w:r>
          <w:rPr>
            <w:webHidden/>
          </w:rPr>
        </w:r>
        <w:r>
          <w:rPr>
            <w:webHidden/>
          </w:rPr>
          <w:fldChar w:fldCharType="separate"/>
        </w:r>
        <w:r>
          <w:rPr>
            <w:webHidden/>
          </w:rPr>
          <w:t>6</w:t>
        </w:r>
        <w:r>
          <w:rPr>
            <w:webHidden/>
          </w:rPr>
          <w:fldChar w:fldCharType="end"/>
        </w:r>
      </w:hyperlink>
    </w:p>
    <w:p w:rsidR="00843573" w:rsidRDefault="00843573">
      <w:pPr>
        <w:pStyle w:val="21"/>
        <w:rPr>
          <w:rFonts w:asciiTheme="minorHAnsi" w:eastAsiaTheme="minorEastAsia" w:hAnsiTheme="minorHAnsi" w:cstheme="minorBidi"/>
          <w:sz w:val="22"/>
          <w:szCs w:val="22"/>
        </w:rPr>
      </w:pPr>
      <w:hyperlink w:anchor="_Toc214551809" w:history="1">
        <w:r w:rsidRPr="000B6B04">
          <w:rPr>
            <w:rStyle w:val="aff"/>
            <w:lang w:val="en-US"/>
          </w:rPr>
          <w:t>1.4</w:t>
        </w:r>
        <w:r>
          <w:rPr>
            <w:rFonts w:asciiTheme="minorHAnsi" w:eastAsiaTheme="minorEastAsia" w:hAnsiTheme="minorHAnsi" w:cstheme="minorBidi"/>
            <w:sz w:val="22"/>
            <w:szCs w:val="22"/>
          </w:rPr>
          <w:tab/>
        </w:r>
        <w:r w:rsidRPr="000B6B04">
          <w:rPr>
            <w:rStyle w:val="aff"/>
            <w:lang w:val="en-US"/>
          </w:rPr>
          <w:t>The supply chain approach for products traceability</w:t>
        </w:r>
        <w:r>
          <w:rPr>
            <w:webHidden/>
          </w:rPr>
          <w:tab/>
        </w:r>
        <w:r>
          <w:rPr>
            <w:webHidden/>
          </w:rPr>
          <w:fldChar w:fldCharType="begin"/>
        </w:r>
        <w:r>
          <w:rPr>
            <w:webHidden/>
          </w:rPr>
          <w:instrText xml:space="preserve"> PAGEREF _Toc214551809 \h </w:instrText>
        </w:r>
        <w:r>
          <w:rPr>
            <w:webHidden/>
          </w:rPr>
        </w:r>
        <w:r>
          <w:rPr>
            <w:webHidden/>
          </w:rPr>
          <w:fldChar w:fldCharType="separate"/>
        </w:r>
        <w:r>
          <w:rPr>
            <w:webHidden/>
          </w:rPr>
          <w:t>8</w:t>
        </w:r>
        <w:r>
          <w:rPr>
            <w:webHidden/>
          </w:rPr>
          <w:fldChar w:fldCharType="end"/>
        </w:r>
      </w:hyperlink>
    </w:p>
    <w:p w:rsidR="00843573" w:rsidRDefault="00843573">
      <w:pPr>
        <w:pStyle w:val="21"/>
        <w:rPr>
          <w:rFonts w:asciiTheme="minorHAnsi" w:eastAsiaTheme="minorEastAsia" w:hAnsiTheme="minorHAnsi" w:cstheme="minorBidi"/>
          <w:sz w:val="22"/>
          <w:szCs w:val="22"/>
        </w:rPr>
      </w:pPr>
      <w:hyperlink w:anchor="_Toc214551810" w:history="1">
        <w:r w:rsidRPr="000B6B04">
          <w:rPr>
            <w:rStyle w:val="aff"/>
          </w:rPr>
          <w:t>1.5</w:t>
        </w:r>
        <w:r>
          <w:rPr>
            <w:rFonts w:asciiTheme="minorHAnsi" w:eastAsiaTheme="minorEastAsia" w:hAnsiTheme="minorHAnsi" w:cstheme="minorBidi"/>
            <w:sz w:val="22"/>
            <w:szCs w:val="22"/>
          </w:rPr>
          <w:tab/>
        </w:r>
        <w:r w:rsidRPr="000B6B04">
          <w:rPr>
            <w:rStyle w:val="aff"/>
          </w:rPr>
          <w:t>Conclusions</w:t>
        </w:r>
        <w:r>
          <w:rPr>
            <w:webHidden/>
          </w:rPr>
          <w:tab/>
        </w:r>
        <w:r>
          <w:rPr>
            <w:webHidden/>
          </w:rPr>
          <w:fldChar w:fldCharType="begin"/>
        </w:r>
        <w:r>
          <w:rPr>
            <w:webHidden/>
          </w:rPr>
          <w:instrText xml:space="preserve"> PAGEREF _Toc214551810 \h </w:instrText>
        </w:r>
        <w:r>
          <w:rPr>
            <w:webHidden/>
          </w:rPr>
        </w:r>
        <w:r>
          <w:rPr>
            <w:webHidden/>
          </w:rPr>
          <w:fldChar w:fldCharType="separate"/>
        </w:r>
        <w:r>
          <w:rPr>
            <w:webHidden/>
          </w:rPr>
          <w:t>16</w:t>
        </w:r>
        <w:r>
          <w:rPr>
            <w:webHidden/>
          </w:rPr>
          <w:fldChar w:fldCharType="end"/>
        </w:r>
      </w:hyperlink>
    </w:p>
    <w:p w:rsidR="00843573" w:rsidRDefault="00843573">
      <w:pPr>
        <w:pStyle w:val="21"/>
        <w:rPr>
          <w:rFonts w:asciiTheme="minorHAnsi" w:eastAsiaTheme="minorEastAsia" w:hAnsiTheme="minorHAnsi" w:cstheme="minorBidi"/>
          <w:sz w:val="22"/>
          <w:szCs w:val="22"/>
        </w:rPr>
      </w:pPr>
      <w:hyperlink w:anchor="_Toc214551811" w:history="1">
        <w:r w:rsidRPr="000B6B04">
          <w:rPr>
            <w:rStyle w:val="aff"/>
          </w:rPr>
          <w:t>1.6</w:t>
        </w:r>
        <w:r>
          <w:rPr>
            <w:rFonts w:asciiTheme="minorHAnsi" w:eastAsiaTheme="minorEastAsia" w:hAnsiTheme="minorHAnsi" w:cstheme="minorBidi"/>
            <w:sz w:val="22"/>
            <w:szCs w:val="22"/>
          </w:rPr>
          <w:tab/>
        </w:r>
        <w:r w:rsidRPr="000B6B04">
          <w:rPr>
            <w:rStyle w:val="aff"/>
          </w:rPr>
          <w:t>References</w:t>
        </w:r>
        <w:r>
          <w:rPr>
            <w:webHidden/>
          </w:rPr>
          <w:tab/>
        </w:r>
        <w:r>
          <w:rPr>
            <w:webHidden/>
          </w:rPr>
          <w:fldChar w:fldCharType="begin"/>
        </w:r>
        <w:r>
          <w:rPr>
            <w:webHidden/>
          </w:rPr>
          <w:instrText xml:space="preserve"> PAGEREF _Toc214551811 \h </w:instrText>
        </w:r>
        <w:r>
          <w:rPr>
            <w:webHidden/>
          </w:rPr>
        </w:r>
        <w:r>
          <w:rPr>
            <w:webHidden/>
          </w:rPr>
          <w:fldChar w:fldCharType="separate"/>
        </w:r>
        <w:r>
          <w:rPr>
            <w:webHidden/>
          </w:rPr>
          <w:t>17</w:t>
        </w:r>
        <w:r>
          <w:rPr>
            <w:webHidden/>
          </w:rPr>
          <w:fldChar w:fldCharType="end"/>
        </w:r>
      </w:hyperlink>
    </w:p>
    <w:p w:rsidR="00794728" w:rsidRPr="00C872DE" w:rsidRDefault="00794728" w:rsidP="00C872DE">
      <w:pPr>
        <w:pStyle w:val="ae"/>
        <w:ind w:firstLine="0"/>
        <w:rPr>
          <w:lang w:val="en-US"/>
        </w:rPr>
      </w:pPr>
      <w:r>
        <w:fldChar w:fldCharType="end"/>
      </w:r>
    </w:p>
    <w:p w:rsidR="00893FC7" w:rsidRPr="00922DF9" w:rsidRDefault="00893FC7" w:rsidP="00C872DE">
      <w:pPr>
        <w:pStyle w:val="ae"/>
        <w:ind w:firstLine="0"/>
        <w:rPr>
          <w:lang w:val="en-US"/>
        </w:rPr>
      </w:pPr>
    </w:p>
    <w:p w:rsidR="00893FC7" w:rsidRPr="00843573" w:rsidRDefault="00893FC7" w:rsidP="00843573">
      <w:pPr>
        <w:pStyle w:val="2"/>
      </w:pPr>
      <w:bookmarkStart w:id="0" w:name="_Toc214551806"/>
      <w:proofErr w:type="spellStart"/>
      <w:r w:rsidRPr="00843573">
        <w:t>Introduction</w:t>
      </w:r>
      <w:bookmarkEnd w:id="0"/>
      <w:proofErr w:type="spellEnd"/>
    </w:p>
    <w:p w:rsidR="00893FC7" w:rsidRPr="00922DF9" w:rsidRDefault="00893FC7" w:rsidP="00893FC7">
      <w:pPr>
        <w:pStyle w:val="ae"/>
        <w:rPr>
          <w:lang w:val="en-US"/>
        </w:rPr>
      </w:pPr>
      <w:r w:rsidRPr="00922DF9">
        <w:rPr>
          <w:lang w:val="en-US"/>
        </w:rPr>
        <w:t>The optimization of the logistic operations for perishable products is a research topic which has attracted a significant interest due to the recent regulations on traceability aimed to ensure the consumers about the quality and safety of foods.</w:t>
      </w:r>
    </w:p>
    <w:p w:rsidR="00893FC7" w:rsidRPr="00922DF9" w:rsidRDefault="00893FC7" w:rsidP="00893FC7">
      <w:pPr>
        <w:pStyle w:val="ae"/>
        <w:rPr>
          <w:lang w:val="en-US"/>
        </w:rPr>
      </w:pPr>
      <w:r w:rsidRPr="00922DF9">
        <w:rPr>
          <w:lang w:val="en-US"/>
        </w:rPr>
        <w:t>According</w:t>
      </w:r>
      <w:r w:rsidR="00C872DE">
        <w:rPr>
          <w:lang w:val="en-US"/>
        </w:rPr>
        <w:t xml:space="preserve"> </w:t>
      </w:r>
      <w:r w:rsidRPr="00922DF9">
        <w:rPr>
          <w:lang w:val="en-US"/>
        </w:rPr>
        <w:t>totheISO9001:2000standard,</w:t>
      </w:r>
      <w:r w:rsidR="00C872DE">
        <w:rPr>
          <w:lang w:val="en-US"/>
        </w:rPr>
        <w:t xml:space="preserve"> </w:t>
      </w:r>
      <w:r w:rsidRPr="00922DF9">
        <w:rPr>
          <w:lang w:val="en-US"/>
        </w:rPr>
        <w:t>supply</w:t>
      </w:r>
      <w:r w:rsidR="00C872DE">
        <w:rPr>
          <w:lang w:val="en-US"/>
        </w:rPr>
        <w:t xml:space="preserve"> </w:t>
      </w:r>
      <w:r w:rsidRPr="00922DF9">
        <w:rPr>
          <w:lang w:val="en-US"/>
        </w:rPr>
        <w:t>chain</w:t>
      </w:r>
      <w:r w:rsidR="00C872DE">
        <w:rPr>
          <w:lang w:val="en-US"/>
        </w:rPr>
        <w:t xml:space="preserve"> </w:t>
      </w:r>
      <w:r w:rsidRPr="00922DF9">
        <w:rPr>
          <w:lang w:val="en-US"/>
        </w:rPr>
        <w:t>traceability is the ability to trace the history, application or location of an entity by means of recorded identifications (EC Regulation no. 178/2002; Nguyen, 2004), throughout the entire supply chain. In practice, supply chain traceability is an integrated end-to-end process, in which all the supply chain members contribute to optimize the tracking activity, which is achieved when the actors involved keep records of suppliers and customers and exchange this information along the entire supply chain (</w:t>
      </w:r>
      <w:proofErr w:type="spellStart"/>
      <w:r w:rsidRPr="00922DF9">
        <w:rPr>
          <w:lang w:val="en-US"/>
        </w:rPr>
        <w:t>Cimino</w:t>
      </w:r>
      <w:proofErr w:type="spellEnd"/>
      <w:r w:rsidRPr="00922DF9">
        <w:rPr>
          <w:lang w:val="en-US"/>
        </w:rPr>
        <w:t xml:space="preserve"> et al., 2005; </w:t>
      </w:r>
      <w:proofErr w:type="spellStart"/>
      <w:r w:rsidRPr="00922DF9">
        <w:rPr>
          <w:lang w:val="en-US"/>
        </w:rPr>
        <w:t>Opara</w:t>
      </w:r>
      <w:proofErr w:type="spellEnd"/>
      <w:r w:rsidRPr="00922DF9">
        <w:rPr>
          <w:lang w:val="en-US"/>
        </w:rPr>
        <w:t>, 2004). Supply chain traceability has become a legal obligation within the EU since 1st January 2005, therefore it has attracted considerable attention in the</w:t>
      </w:r>
    </w:p>
    <w:p w:rsidR="00893FC7" w:rsidRPr="00922DF9" w:rsidRDefault="00893FC7" w:rsidP="00893FC7">
      <w:pPr>
        <w:pStyle w:val="ae"/>
        <w:rPr>
          <w:lang w:val="en-US"/>
        </w:rPr>
      </w:pPr>
      <w:proofErr w:type="gramStart"/>
      <w:r w:rsidRPr="00922DF9">
        <w:rPr>
          <w:lang w:val="en-US"/>
        </w:rPr>
        <w:t>last</w:t>
      </w:r>
      <w:proofErr w:type="gramEnd"/>
      <w:r w:rsidRPr="00922DF9">
        <w:rPr>
          <w:lang w:val="en-US"/>
        </w:rPr>
        <w:t xml:space="preserve"> years. Moreover the food companies must consider the significant expenditure required to implement a traceability system as a long-term strategic investment to create consumer confidence both in the company image and in the specific product. On the other hand it has been pointed out the importance of synchronizing the activities of all partners in the supply chain in order to improve the effectiveness of supply chain operations. In this context the implementation of systems facilitating information sharing on various activities and the coordination between internal and external partners within the chain is enforced (</w:t>
      </w:r>
      <w:proofErr w:type="spellStart"/>
      <w:r w:rsidRPr="00922DF9">
        <w:rPr>
          <w:lang w:val="en-US"/>
        </w:rPr>
        <w:t>Gunasekaran</w:t>
      </w:r>
      <w:proofErr w:type="spellEnd"/>
      <w:r w:rsidRPr="00922DF9">
        <w:rPr>
          <w:lang w:val="en-US"/>
        </w:rPr>
        <w:t xml:space="preserve"> &amp; </w:t>
      </w:r>
      <w:proofErr w:type="spellStart"/>
      <w:r w:rsidRPr="00922DF9">
        <w:rPr>
          <w:lang w:val="en-US"/>
        </w:rPr>
        <w:t>Ngai</w:t>
      </w:r>
      <w:proofErr w:type="spellEnd"/>
      <w:r w:rsidRPr="00922DF9">
        <w:rPr>
          <w:lang w:val="en-US"/>
        </w:rPr>
        <w:t xml:space="preserve">, 2004). In addition to systematically storing information that must be made available to inspection authorities, other requirements for traceability exist besides the mere legal conformity: the members of the supply chain should in fact consider the opportunity of </w:t>
      </w:r>
      <w:r w:rsidRPr="00922DF9">
        <w:rPr>
          <w:lang w:val="en-US"/>
        </w:rPr>
        <w:lastRenderedPageBreak/>
        <w:t xml:space="preserve">improving food safety and quality in order to increase the market value of products (Food Chain Strategy Division, Food Standards Agency, 2002). For this purpose, the data recorded must univocally identify the products flowing through the supply chain and provide </w:t>
      </w:r>
      <w:proofErr w:type="gramStart"/>
      <w:r w:rsidRPr="00922DF9">
        <w:rPr>
          <w:lang w:val="en-US"/>
        </w:rPr>
        <w:t>several other information</w:t>
      </w:r>
      <w:proofErr w:type="gramEnd"/>
      <w:r w:rsidRPr="00922DF9">
        <w:rPr>
          <w:lang w:val="en-US"/>
        </w:rPr>
        <w:t xml:space="preserve"> as for example, the quantity or nature of products, the weight, the remaining quality or their deterioration level, etc. In this context a proper design of a traceability system may allow to limit the product recall only to the products actually affected by contamination (</w:t>
      </w:r>
      <w:proofErr w:type="spellStart"/>
      <w:r w:rsidRPr="00922DF9">
        <w:rPr>
          <w:lang w:val="en-US"/>
        </w:rPr>
        <w:t>Pouliot</w:t>
      </w:r>
      <w:proofErr w:type="spellEnd"/>
      <w:r w:rsidRPr="00922DF9">
        <w:rPr>
          <w:lang w:val="en-US"/>
        </w:rPr>
        <w:t xml:space="preserve"> &amp; Sumner, 2008). Such design relates not only to the procedures to be implemented and the standards to be observed but also to the optimal size of the batch to be tracked along the chain. However the design, implementation, and management of an efficient traceability system for food products is a difficult task since their quality is frequently conditioned by the harvesting means, transformation processes, transporting ways, and storage conditions (De </w:t>
      </w:r>
      <w:proofErr w:type="spellStart"/>
      <w:r w:rsidRPr="00922DF9">
        <w:rPr>
          <w:lang w:val="en-US"/>
        </w:rPr>
        <w:t>Cindio</w:t>
      </w:r>
      <w:proofErr w:type="spellEnd"/>
      <w:r w:rsidRPr="00922DF9">
        <w:rPr>
          <w:lang w:val="en-US"/>
        </w:rPr>
        <w:t xml:space="preserve">, Longo, </w:t>
      </w:r>
      <w:proofErr w:type="spellStart"/>
      <w:r w:rsidRPr="00922DF9">
        <w:rPr>
          <w:lang w:val="en-US"/>
        </w:rPr>
        <w:t>Mirabelli</w:t>
      </w:r>
      <w:proofErr w:type="spellEnd"/>
      <w:r w:rsidRPr="00922DF9">
        <w:rPr>
          <w:lang w:val="en-US"/>
        </w:rPr>
        <w:t xml:space="preserve">, &amp; </w:t>
      </w:r>
      <w:proofErr w:type="spellStart"/>
      <w:r w:rsidRPr="00922DF9">
        <w:rPr>
          <w:lang w:val="en-US"/>
        </w:rPr>
        <w:t>Pizzuti</w:t>
      </w:r>
      <w:proofErr w:type="spellEnd"/>
      <w:r w:rsidRPr="00922DF9">
        <w:rPr>
          <w:lang w:val="en-US"/>
        </w:rPr>
        <w:t>, 2011), making the data gathering and management a difficult task.</w:t>
      </w:r>
    </w:p>
    <w:p w:rsidR="00893FC7" w:rsidRPr="00922DF9" w:rsidRDefault="00893FC7" w:rsidP="00893FC7">
      <w:pPr>
        <w:pStyle w:val="ae"/>
        <w:rPr>
          <w:lang w:val="en-US"/>
        </w:rPr>
      </w:pPr>
      <w:r w:rsidRPr="00922DF9">
        <w:rPr>
          <w:lang w:val="en-US"/>
        </w:rPr>
        <w:t>In this context recent pervasive and non invasive technologies such as the Radio Frequency Identification (RFID) facilitated the task of data acquisition by allowing the automatic gathering of information needed to the traceability system thus reducing the traceability costs (</w:t>
      </w:r>
      <w:proofErr w:type="spellStart"/>
      <w:r w:rsidRPr="00922DF9">
        <w:rPr>
          <w:lang w:val="en-US"/>
        </w:rPr>
        <w:t>Dabbene</w:t>
      </w:r>
      <w:proofErr w:type="spellEnd"/>
      <w:r w:rsidRPr="00922DF9">
        <w:rPr>
          <w:lang w:val="en-US"/>
        </w:rPr>
        <w:t xml:space="preserve"> &amp; Gay, 2011). As reported by Sari (2010), RFID have been proven to improve the supply chain performance in several application fields. Shah </w:t>
      </w:r>
      <w:proofErr w:type="spellStart"/>
      <w:proofErr w:type="gramStart"/>
      <w:r w:rsidRPr="00922DF9">
        <w:rPr>
          <w:lang w:val="en-US"/>
        </w:rPr>
        <w:t>Jaymeen</w:t>
      </w:r>
      <w:proofErr w:type="spellEnd"/>
      <w:r w:rsidRPr="00922DF9">
        <w:rPr>
          <w:lang w:val="en-US"/>
        </w:rPr>
        <w:t>,</w:t>
      </w:r>
      <w:proofErr w:type="gramEnd"/>
      <w:r w:rsidRPr="00922DF9">
        <w:rPr>
          <w:lang w:val="en-US"/>
        </w:rPr>
        <w:t xml:space="preserve"> and </w:t>
      </w:r>
      <w:proofErr w:type="spellStart"/>
      <w:r w:rsidRPr="00922DF9">
        <w:rPr>
          <w:lang w:val="en-US"/>
        </w:rPr>
        <w:t>Murtaza</w:t>
      </w:r>
      <w:proofErr w:type="spellEnd"/>
      <w:r w:rsidRPr="00922DF9">
        <w:rPr>
          <w:lang w:val="en-US"/>
        </w:rPr>
        <w:t xml:space="preserve"> </w:t>
      </w:r>
      <w:proofErr w:type="spellStart"/>
      <w:r w:rsidRPr="00922DF9">
        <w:rPr>
          <w:lang w:val="en-US"/>
        </w:rPr>
        <w:t>Mirza</w:t>
      </w:r>
      <w:proofErr w:type="spellEnd"/>
      <w:r w:rsidRPr="00922DF9">
        <w:rPr>
          <w:lang w:val="en-US"/>
        </w:rPr>
        <w:t xml:space="preserve"> (2008) observed that the automated collection and transmission capabilities provided by the RFID allow enhancing information sharing and collaboration between supply chain partners. </w:t>
      </w:r>
      <w:proofErr w:type="spellStart"/>
      <w:r w:rsidRPr="00922DF9">
        <w:rPr>
          <w:lang w:val="en-US"/>
        </w:rPr>
        <w:t>Gandino</w:t>
      </w:r>
      <w:proofErr w:type="spellEnd"/>
      <w:r w:rsidRPr="00922DF9">
        <w:rPr>
          <w:lang w:val="en-US"/>
        </w:rPr>
        <w:t xml:space="preserve">, </w:t>
      </w:r>
      <w:proofErr w:type="spellStart"/>
      <w:r w:rsidRPr="00922DF9">
        <w:rPr>
          <w:lang w:val="en-US"/>
        </w:rPr>
        <w:t>Montrucchio</w:t>
      </w:r>
      <w:proofErr w:type="spellEnd"/>
      <w:r w:rsidRPr="00922DF9">
        <w:rPr>
          <w:lang w:val="en-US"/>
        </w:rPr>
        <w:t xml:space="preserve">, </w:t>
      </w:r>
      <w:proofErr w:type="spellStart"/>
      <w:r w:rsidRPr="00922DF9">
        <w:rPr>
          <w:lang w:val="en-US"/>
        </w:rPr>
        <w:t>Rebaudengo</w:t>
      </w:r>
      <w:proofErr w:type="spellEnd"/>
      <w:r w:rsidRPr="00922DF9">
        <w:rPr>
          <w:lang w:val="en-US"/>
        </w:rPr>
        <w:t xml:space="preserve">, and Sanchez (2009) reported that the adoption of an automated traceability system based on RFID technology allows increasing the efficiency of the traceability management by reducing the labor cost. In particular one of the most important issues to be faced in the adoption of a traceability system is the appropriate level of traceability to implement and the costs due to the automated traceability system consequently. A survey about the use of RFID in agriculture for environmental detection can be found in Ruiz-Garcia and </w:t>
      </w:r>
      <w:proofErr w:type="spellStart"/>
      <w:r w:rsidRPr="00922DF9">
        <w:rPr>
          <w:lang w:val="en-US"/>
        </w:rPr>
        <w:t>Lunadei</w:t>
      </w:r>
      <w:proofErr w:type="spellEnd"/>
      <w:r w:rsidRPr="00922DF9">
        <w:rPr>
          <w:lang w:val="en-US"/>
        </w:rPr>
        <w:t xml:space="preserve"> (2011). The availability of real-time data has a major influence on the optimal ordering quantity and the optimal time of promotion decision. An information system, viewed from an infrastructural and managerial </w:t>
      </w:r>
      <w:proofErr w:type="spellStart"/>
      <w:r w:rsidRPr="00922DF9">
        <w:rPr>
          <w:lang w:val="en-US"/>
        </w:rPr>
        <w:t>perspective</w:t>
      </w:r>
      <w:proofErr w:type="gramStart"/>
      <w:r w:rsidRPr="00922DF9">
        <w:rPr>
          <w:lang w:val="en-US"/>
        </w:rPr>
        <w:t>,hasvariouselementssuchasidentificationandcollection</w:t>
      </w:r>
      <w:proofErr w:type="spellEnd"/>
      <w:proofErr w:type="gramEnd"/>
      <w:r w:rsidRPr="00922DF9">
        <w:rPr>
          <w:lang w:val="en-US"/>
        </w:rPr>
        <w:t xml:space="preserve"> of relevant data elements, communication and processing of the data at regular intervals etc. (</w:t>
      </w:r>
      <w:proofErr w:type="spellStart"/>
      <w:r w:rsidRPr="00922DF9">
        <w:rPr>
          <w:lang w:val="en-US"/>
        </w:rPr>
        <w:t>Raghuram</w:t>
      </w:r>
      <w:proofErr w:type="spellEnd"/>
      <w:r w:rsidRPr="00922DF9">
        <w:rPr>
          <w:lang w:val="en-US"/>
        </w:rPr>
        <w:t xml:space="preserve"> &amp; </w:t>
      </w:r>
      <w:proofErr w:type="spellStart"/>
      <w:r w:rsidRPr="00922DF9">
        <w:rPr>
          <w:lang w:val="en-US"/>
        </w:rPr>
        <w:t>Rangaraj</w:t>
      </w:r>
      <w:proofErr w:type="spellEnd"/>
      <w:r w:rsidRPr="00922DF9">
        <w:rPr>
          <w:lang w:val="en-US"/>
        </w:rPr>
        <w:t xml:space="preserve">, 2003). RFID technology is an emerging trend in this field and is mainly used for product identification, collection and communication of relevant data. The use of non invasive technologies like RFID in conjunction with predictive models such as that above mentioned can </w:t>
      </w:r>
      <w:r w:rsidRPr="00922DF9">
        <w:rPr>
          <w:lang w:val="en-US"/>
        </w:rPr>
        <w:lastRenderedPageBreak/>
        <w:t>be easily coupled to determine the remaining quality of a product at any stage of the supply chain thus enabling proper withdrawal of non conforming ones.</w:t>
      </w:r>
    </w:p>
    <w:p w:rsidR="00893FC7" w:rsidRPr="00922DF9" w:rsidRDefault="00893FC7" w:rsidP="00893FC7">
      <w:pPr>
        <w:pStyle w:val="ae"/>
        <w:rPr>
          <w:lang w:val="en-US"/>
        </w:rPr>
      </w:pPr>
      <w:r w:rsidRPr="00922DF9">
        <w:rPr>
          <w:lang w:val="en-US"/>
        </w:rPr>
        <w:t>This paper considers an RFID-based methodology for inventory control of perishable products such as fruits and vegetables. RFID technology requires very little or no handling of items and is therefore well suited for inventory control of perishable products. The technology also helps in updating the inventory status in real time without product movement, scanning or human involvement.</w:t>
      </w:r>
    </w:p>
    <w:p w:rsidR="00893FC7" w:rsidRPr="00843573" w:rsidRDefault="00893FC7" w:rsidP="00843573">
      <w:pPr>
        <w:pStyle w:val="2"/>
        <w:rPr>
          <w:lang w:val="en-US"/>
        </w:rPr>
      </w:pPr>
      <w:r w:rsidRPr="00843573">
        <w:rPr>
          <w:lang w:val="en-US"/>
        </w:rPr>
        <w:t xml:space="preserve"> </w:t>
      </w:r>
      <w:bookmarkStart w:id="1" w:name="_Toc214551807"/>
      <w:r w:rsidRPr="00843573">
        <w:rPr>
          <w:lang w:val="en-US"/>
        </w:rPr>
        <w:t>The costs related to traceability systems and to the traceable unit</w:t>
      </w:r>
      <w:bookmarkEnd w:id="1"/>
    </w:p>
    <w:p w:rsidR="00893FC7" w:rsidRPr="00922DF9" w:rsidRDefault="00893FC7" w:rsidP="00893FC7">
      <w:pPr>
        <w:pStyle w:val="ae"/>
        <w:rPr>
          <w:lang w:val="en-US"/>
        </w:rPr>
      </w:pPr>
      <w:r w:rsidRPr="00922DF9">
        <w:rPr>
          <w:lang w:val="en-US"/>
        </w:rPr>
        <w:t xml:space="preserve">One of the main features that </w:t>
      </w:r>
      <w:proofErr w:type="gramStart"/>
      <w:r w:rsidRPr="00922DF9">
        <w:rPr>
          <w:lang w:val="en-US"/>
        </w:rPr>
        <w:t>affects</w:t>
      </w:r>
      <w:proofErr w:type="gramEnd"/>
      <w:r w:rsidRPr="00922DF9">
        <w:rPr>
          <w:lang w:val="en-US"/>
        </w:rPr>
        <w:t xml:space="preserve"> the cost and the practicability of traceability systems is the level of granularity. Following the definition formulated by </w:t>
      </w:r>
      <w:proofErr w:type="spellStart"/>
      <w:r w:rsidRPr="00922DF9">
        <w:rPr>
          <w:lang w:val="en-US"/>
        </w:rPr>
        <w:t>Karlsen</w:t>
      </w:r>
      <w:proofErr w:type="spellEnd"/>
      <w:r w:rsidRPr="00922DF9">
        <w:rPr>
          <w:lang w:val="en-US"/>
        </w:rPr>
        <w:t xml:space="preserve">, Dreyer, Olsen, and </w:t>
      </w:r>
      <w:proofErr w:type="spellStart"/>
      <w:r w:rsidRPr="00922DF9">
        <w:rPr>
          <w:lang w:val="en-US"/>
        </w:rPr>
        <w:t>Elvevoll</w:t>
      </w:r>
      <w:proofErr w:type="spellEnd"/>
      <w:r w:rsidRPr="00922DF9">
        <w:rPr>
          <w:lang w:val="en-US"/>
        </w:rPr>
        <w:t xml:space="preserve"> (2012), granularity refers to the size of a traceable unit and the number of the smallest traceable units necessary to make up the traceable unit at a specific granularity level. As reported by Angeles (2005), usually the traceability levels considered are three: pallet, case or item-level. The main advantage of the item-level compared to the pallet level is the accuracy of information provided. By consequence with item level traceability in the case of recall it will be possible to reduce the number of products discarded since a lesser number of items will be withdrawn. On the other hand the finer the traceability, the higher will be the cost of the system and the amount of data to be processed.</w:t>
      </w:r>
    </w:p>
    <w:p w:rsidR="00893FC7" w:rsidRPr="00922DF9" w:rsidRDefault="00893FC7" w:rsidP="00893FC7">
      <w:pPr>
        <w:pStyle w:val="ae"/>
        <w:rPr>
          <w:lang w:val="en-US"/>
        </w:rPr>
      </w:pPr>
      <w:proofErr w:type="spellStart"/>
      <w:r w:rsidRPr="00922DF9">
        <w:rPr>
          <w:lang w:val="en-US"/>
        </w:rPr>
        <w:t>Karlsen</w:t>
      </w:r>
      <w:proofErr w:type="spellEnd"/>
      <w:r w:rsidRPr="00922DF9">
        <w:rPr>
          <w:lang w:val="en-US"/>
        </w:rPr>
        <w:t xml:space="preserve"> et al. (2012) underlined that usually coarse granularity can be used when the risk of contamination is low, or when requirements for controlling production processes are less stringent, while finer granularity is recommended otherwise. As reported by </w:t>
      </w:r>
      <w:proofErr w:type="spellStart"/>
      <w:r w:rsidRPr="00922DF9">
        <w:rPr>
          <w:lang w:val="en-US"/>
        </w:rPr>
        <w:t>Dabbene</w:t>
      </w:r>
      <w:proofErr w:type="spellEnd"/>
      <w:r w:rsidRPr="00922DF9">
        <w:rPr>
          <w:lang w:val="en-US"/>
        </w:rPr>
        <w:t xml:space="preserve"> and Gay (2011), the granularity generally arises from a combination of tradition, short-term convenience and use of available facilities. Only in a few cases granularity is the result of a formal analysis and optimization in the supply chain. The amount of data to be collected is a main consequence of the granularity level chosen and it can require a strong effort by companies which carry out the manual record of the data. In this case an electronic and automated data recording system can be of great help in managing data needed (</w:t>
      </w:r>
      <w:proofErr w:type="spellStart"/>
      <w:r w:rsidRPr="00922DF9">
        <w:rPr>
          <w:lang w:val="en-US"/>
        </w:rPr>
        <w:t>Karlsen</w:t>
      </w:r>
      <w:proofErr w:type="spellEnd"/>
      <w:r w:rsidRPr="00922DF9">
        <w:rPr>
          <w:lang w:val="en-US"/>
        </w:rPr>
        <w:t>, Donnelly, &amp; Olsen, 2011). In this field the RFID lends itself as a suitable technology to achieve the goal of traceability.</w:t>
      </w:r>
    </w:p>
    <w:p w:rsidR="00893FC7" w:rsidRPr="00922DF9" w:rsidRDefault="00893FC7" w:rsidP="00893FC7">
      <w:pPr>
        <w:pStyle w:val="ae"/>
        <w:rPr>
          <w:lang w:val="en-US"/>
        </w:rPr>
      </w:pPr>
      <w:r w:rsidRPr="00922DF9">
        <w:rPr>
          <w:lang w:val="en-US"/>
        </w:rPr>
        <w:t xml:space="preserve">It is nowadays generally recognized that sensing and communication technologies are mature enough to develop advanced traceability systems, although their diffusion is limited due to the perception of high implementation costs. As remarked by </w:t>
      </w:r>
      <w:proofErr w:type="spellStart"/>
      <w:r w:rsidRPr="00922DF9">
        <w:rPr>
          <w:lang w:val="en-US"/>
        </w:rPr>
        <w:t>Gandino</w:t>
      </w:r>
      <w:proofErr w:type="spellEnd"/>
      <w:r w:rsidRPr="00922DF9">
        <w:rPr>
          <w:lang w:val="en-US"/>
        </w:rPr>
        <w:t xml:space="preserve"> et al. (2009), the diffusion of traceability systems is not homogeneous between the firms. They observed that the most advanced agricultural enterprises recognize an important role to the Information </w:t>
      </w:r>
      <w:r w:rsidRPr="00922DF9">
        <w:rPr>
          <w:lang w:val="en-US"/>
        </w:rPr>
        <w:lastRenderedPageBreak/>
        <w:t xml:space="preserve">Communication Technology (ICT) and use spontaneously a traceability system, which is generally characterized by high efficiency and automation. On the other hand Small and Medium Enterprises (SMEs) usually use </w:t>
      </w:r>
      <w:proofErr w:type="spellStart"/>
      <w:r w:rsidRPr="00922DF9">
        <w:rPr>
          <w:lang w:val="en-US"/>
        </w:rPr>
        <w:t>nondigital</w:t>
      </w:r>
      <w:proofErr w:type="spellEnd"/>
      <w:r w:rsidRPr="00922DF9">
        <w:rPr>
          <w:lang w:val="en-US"/>
        </w:rPr>
        <w:t xml:space="preserve"> systems relying in manual ones due to the limited scale of their operations, necessity of heavy investment and nature of their manufacturing process (</w:t>
      </w:r>
      <w:proofErr w:type="spellStart"/>
      <w:r w:rsidRPr="00922DF9">
        <w:rPr>
          <w:lang w:val="en-US"/>
        </w:rPr>
        <w:t>Nishantha</w:t>
      </w:r>
      <w:proofErr w:type="spellEnd"/>
      <w:r w:rsidRPr="00922DF9">
        <w:rPr>
          <w:lang w:val="en-US"/>
        </w:rPr>
        <w:t xml:space="preserve">, </w:t>
      </w:r>
      <w:proofErr w:type="spellStart"/>
      <w:r w:rsidRPr="00922DF9">
        <w:rPr>
          <w:lang w:val="en-US"/>
        </w:rPr>
        <w:t>Wanniarachchige</w:t>
      </w:r>
      <w:proofErr w:type="spellEnd"/>
      <w:r w:rsidRPr="00922DF9">
        <w:rPr>
          <w:lang w:val="en-US"/>
        </w:rPr>
        <w:t xml:space="preserve">, &amp; </w:t>
      </w:r>
      <w:proofErr w:type="spellStart"/>
      <w:r w:rsidRPr="00922DF9">
        <w:rPr>
          <w:lang w:val="en-US"/>
        </w:rPr>
        <w:t>Jehan</w:t>
      </w:r>
      <w:proofErr w:type="spellEnd"/>
      <w:r w:rsidRPr="00922DF9">
        <w:rPr>
          <w:lang w:val="en-US"/>
        </w:rPr>
        <w:t>, 2010). In this context major obstacles to the successful implementation of automated traceability systems are the necessity of costly investments, reluctance to change, lack of skills. Nevertheless, tracing and tracking capabilities may be crucial for example to reduce the cost of recalls (</w:t>
      </w:r>
      <w:proofErr w:type="spellStart"/>
      <w:r w:rsidRPr="00922DF9">
        <w:rPr>
          <w:lang w:val="en-US"/>
        </w:rPr>
        <w:t>Bechini</w:t>
      </w:r>
      <w:proofErr w:type="spellEnd"/>
      <w:r w:rsidRPr="00922DF9">
        <w:rPr>
          <w:lang w:val="en-US"/>
        </w:rPr>
        <w:t xml:space="preserve">, </w:t>
      </w:r>
      <w:proofErr w:type="spellStart"/>
      <w:r w:rsidRPr="00922DF9">
        <w:rPr>
          <w:lang w:val="en-US"/>
        </w:rPr>
        <w:t>Cimino</w:t>
      </w:r>
      <w:proofErr w:type="spellEnd"/>
      <w:r w:rsidRPr="00922DF9">
        <w:rPr>
          <w:lang w:val="en-US"/>
        </w:rPr>
        <w:t xml:space="preserve">, </w:t>
      </w:r>
      <w:proofErr w:type="spellStart"/>
      <w:r w:rsidRPr="00922DF9">
        <w:rPr>
          <w:lang w:val="en-US"/>
        </w:rPr>
        <w:t>Marcelloni</w:t>
      </w:r>
      <w:proofErr w:type="spellEnd"/>
      <w:r w:rsidRPr="00922DF9">
        <w:rPr>
          <w:lang w:val="en-US"/>
        </w:rPr>
        <w:t xml:space="preserve">, &amp; </w:t>
      </w:r>
      <w:proofErr w:type="spellStart"/>
      <w:r w:rsidRPr="00922DF9">
        <w:rPr>
          <w:lang w:val="en-US"/>
        </w:rPr>
        <w:t>Tomasi</w:t>
      </w:r>
      <w:proofErr w:type="spellEnd"/>
      <w:r w:rsidRPr="00922DF9">
        <w:rPr>
          <w:lang w:val="en-US"/>
        </w:rPr>
        <w:t>, 2008). Such characteristics determine the appropriate traceability level and affect the cost and benefit correspondingly (</w:t>
      </w:r>
      <w:proofErr w:type="spellStart"/>
      <w:r w:rsidRPr="00922DF9">
        <w:rPr>
          <w:lang w:val="en-US"/>
        </w:rPr>
        <w:t>Asioli</w:t>
      </w:r>
      <w:proofErr w:type="spellEnd"/>
      <w:r w:rsidRPr="00922DF9">
        <w:rPr>
          <w:lang w:val="en-US"/>
        </w:rPr>
        <w:t xml:space="preserve">, </w:t>
      </w:r>
      <w:proofErr w:type="spellStart"/>
      <w:r w:rsidRPr="00922DF9">
        <w:rPr>
          <w:lang w:val="en-US"/>
        </w:rPr>
        <w:t>Boecker</w:t>
      </w:r>
      <w:proofErr w:type="spellEnd"/>
      <w:r w:rsidRPr="00922DF9">
        <w:rPr>
          <w:lang w:val="en-US"/>
        </w:rPr>
        <w:t xml:space="preserve">, &amp; </w:t>
      </w:r>
      <w:proofErr w:type="spellStart"/>
      <w:r w:rsidRPr="00922DF9">
        <w:rPr>
          <w:lang w:val="en-US"/>
        </w:rPr>
        <w:t>Canavari</w:t>
      </w:r>
      <w:proofErr w:type="spellEnd"/>
      <w:r w:rsidRPr="00922DF9">
        <w:rPr>
          <w:lang w:val="en-US"/>
        </w:rPr>
        <w:t>, 2011). Traceability costs are also dependent on the regulatory environment, the technology adopted, the complexity of the supply chain and the amount of data required (</w:t>
      </w:r>
      <w:proofErr w:type="spellStart"/>
      <w:r w:rsidRPr="00922DF9">
        <w:rPr>
          <w:lang w:val="en-US"/>
        </w:rPr>
        <w:t>Dabbene</w:t>
      </w:r>
      <w:proofErr w:type="spellEnd"/>
      <w:r w:rsidRPr="00922DF9">
        <w:rPr>
          <w:lang w:val="en-US"/>
        </w:rPr>
        <w:t xml:space="preserve"> &amp; Gay, 2011). Following the classification given in </w:t>
      </w:r>
      <w:proofErr w:type="spellStart"/>
      <w:r w:rsidRPr="00922DF9">
        <w:rPr>
          <w:lang w:val="en-US"/>
        </w:rPr>
        <w:t>Asioli</w:t>
      </w:r>
      <w:proofErr w:type="spellEnd"/>
      <w:r w:rsidRPr="00922DF9">
        <w:rPr>
          <w:lang w:val="en-US"/>
        </w:rPr>
        <w:t xml:space="preserve"> et al. (2011), traceability costs can be divided in implementation and maintenance/operation costs. Both types of costs belong to the following five categories: “Time and effort” required to workforce, administration and management to implement the traceability system, “Equipment and software” needed, “Training”, “External consultants”, “Materials” and “Certification and audits”. Generally speaking costs related to “Time and effort” as well as costs related to “Training” and costs for “External consultants” essentially depend on the specialized skills and knowledge of human resources necessary for system implementation and use (</w:t>
      </w:r>
      <w:proofErr w:type="spellStart"/>
      <w:r w:rsidRPr="00922DF9">
        <w:rPr>
          <w:lang w:val="en-US"/>
        </w:rPr>
        <w:t>Theuvsen</w:t>
      </w:r>
      <w:proofErr w:type="spellEnd"/>
      <w:r w:rsidRPr="00922DF9">
        <w:rPr>
          <w:lang w:val="en-US"/>
        </w:rPr>
        <w:t xml:space="preserve"> &amp; </w:t>
      </w:r>
      <w:proofErr w:type="spellStart"/>
      <w:r w:rsidRPr="00922DF9">
        <w:rPr>
          <w:lang w:val="en-US"/>
        </w:rPr>
        <w:t>Hollman-Hespos</w:t>
      </w:r>
      <w:proofErr w:type="spellEnd"/>
      <w:r w:rsidRPr="00922DF9">
        <w:rPr>
          <w:lang w:val="en-US"/>
        </w:rPr>
        <w:t xml:space="preserve">, 2005) and on the skills already present in the firm. </w:t>
      </w:r>
      <w:proofErr w:type="spellStart"/>
      <w:r w:rsidRPr="00922DF9">
        <w:rPr>
          <w:lang w:val="en-US"/>
        </w:rPr>
        <w:t>Dessureault</w:t>
      </w:r>
      <w:proofErr w:type="spellEnd"/>
      <w:r w:rsidRPr="00922DF9">
        <w:rPr>
          <w:lang w:val="en-US"/>
        </w:rPr>
        <w:t xml:space="preserve">, Henson, </w:t>
      </w:r>
      <w:proofErr w:type="spellStart"/>
      <w:r w:rsidRPr="00922DF9">
        <w:rPr>
          <w:lang w:val="en-US"/>
        </w:rPr>
        <w:t>Herath</w:t>
      </w:r>
      <w:proofErr w:type="spellEnd"/>
      <w:r w:rsidRPr="00922DF9">
        <w:rPr>
          <w:lang w:val="en-US"/>
        </w:rPr>
        <w:t xml:space="preserve">, and </w:t>
      </w:r>
      <w:proofErr w:type="spellStart"/>
      <w:r w:rsidRPr="00922DF9">
        <w:rPr>
          <w:lang w:val="en-US"/>
        </w:rPr>
        <w:t>Sparling</w:t>
      </w:r>
      <w:proofErr w:type="spellEnd"/>
      <w:r w:rsidRPr="00922DF9">
        <w:rPr>
          <w:lang w:val="en-US"/>
        </w:rPr>
        <w:t xml:space="preserve"> (2006) proposed a similar classification of traceability costs even if they underline the poor importance of “External consultants”, “Purchase of software” and “Ongoing training” in both the implementation and operation/ maintenance costs and the strong impact of the labor intensive logistic operations such as the supervision time, the cost of monitoring suppliers and the costs of regular inspections/audit.</w:t>
      </w:r>
    </w:p>
    <w:p w:rsidR="00893FC7" w:rsidRPr="00922DF9" w:rsidRDefault="00893FC7" w:rsidP="00893FC7">
      <w:pPr>
        <w:pStyle w:val="ae"/>
        <w:rPr>
          <w:lang w:val="en-US"/>
        </w:rPr>
      </w:pPr>
      <w:r w:rsidRPr="00922DF9">
        <w:rPr>
          <w:lang w:val="en-US"/>
        </w:rPr>
        <w:t xml:space="preserve">Among operation costs, the identification and monitoring costs can constitute an important issue in relation to the type of technology employed for the unique identification of products. Such costs are related </w:t>
      </w:r>
      <w:proofErr w:type="spellStart"/>
      <w:r w:rsidRPr="0068698A">
        <w:t>to</w:t>
      </w:r>
      <w:proofErr w:type="spellEnd"/>
      <w:r w:rsidRPr="0068698A">
        <w:t xml:space="preserve"> </w:t>
      </w:r>
      <w:proofErr w:type="spellStart"/>
      <w:r w:rsidRPr="0068698A">
        <w:t>the</w:t>
      </w:r>
      <w:proofErr w:type="spellEnd"/>
      <w:r w:rsidRPr="0068698A">
        <w:t xml:space="preserve"> </w:t>
      </w:r>
      <w:proofErr w:type="spellStart"/>
      <w:r w:rsidRPr="0068698A">
        <w:t>label</w:t>
      </w:r>
      <w:proofErr w:type="spellEnd"/>
      <w:r w:rsidRPr="0068698A">
        <w:t xml:space="preserve"> </w:t>
      </w:r>
      <w:proofErr w:type="spellStart"/>
      <w:r w:rsidRPr="0068698A">
        <w:t>identifying</w:t>
      </w:r>
      <w:proofErr w:type="spellEnd"/>
      <w:r w:rsidRPr="0068698A">
        <w:t xml:space="preserve"> </w:t>
      </w:r>
      <w:proofErr w:type="spellStart"/>
      <w:r w:rsidRPr="0068698A">
        <w:t>the</w:t>
      </w:r>
      <w:proofErr w:type="spellEnd"/>
      <w:r w:rsidRPr="0068698A">
        <w:t xml:space="preserve"> </w:t>
      </w:r>
      <w:proofErr w:type="spellStart"/>
      <w:r w:rsidRPr="0068698A">
        <w:t>product</w:t>
      </w:r>
      <w:proofErr w:type="spellEnd"/>
      <w:r w:rsidRPr="0068698A">
        <w:t xml:space="preserve"> </w:t>
      </w:r>
      <w:proofErr w:type="spellStart"/>
      <w:r w:rsidRPr="0068698A">
        <w:t>and</w:t>
      </w:r>
      <w:proofErr w:type="spellEnd"/>
      <w:r w:rsidRPr="0068698A">
        <w:t xml:space="preserve"> </w:t>
      </w:r>
      <w:proofErr w:type="spellStart"/>
      <w:r w:rsidRPr="0068698A">
        <w:t>to</w:t>
      </w:r>
      <w:proofErr w:type="spellEnd"/>
      <w:r w:rsidRPr="0068698A">
        <w:t xml:space="preserve"> </w:t>
      </w:r>
      <w:proofErr w:type="spellStart"/>
      <w:r w:rsidRPr="0068698A">
        <w:t>sensor</w:t>
      </w:r>
      <w:proofErr w:type="spellEnd"/>
      <w:r w:rsidRPr="0068698A">
        <w:t xml:space="preserve"> </w:t>
      </w:r>
      <w:proofErr w:type="spellStart"/>
      <w:r w:rsidRPr="0068698A">
        <w:t>used</w:t>
      </w:r>
      <w:proofErr w:type="spellEnd"/>
      <w:r w:rsidRPr="0068698A">
        <w:t xml:space="preserve"> </w:t>
      </w:r>
      <w:proofErr w:type="spellStart"/>
      <w:r w:rsidRPr="0068698A">
        <w:t>for</w:t>
      </w:r>
      <w:proofErr w:type="spellEnd"/>
      <w:r w:rsidRPr="0068698A">
        <w:t xml:space="preserve"> </w:t>
      </w:r>
      <w:proofErr w:type="spellStart"/>
      <w:proofErr w:type="gramStart"/>
      <w:r w:rsidRPr="0068698A">
        <w:t>qualitymonitoring</w:t>
      </w:r>
      <w:proofErr w:type="spellEnd"/>
      <w:r w:rsidRPr="0068698A">
        <w:t>(</w:t>
      </w:r>
      <w:proofErr w:type="spellStart"/>
      <w:proofErr w:type="gramEnd"/>
      <w:r w:rsidRPr="0068698A">
        <w:t>if</w:t>
      </w:r>
      <w:proofErr w:type="spellEnd"/>
      <w:r w:rsidRPr="0068698A">
        <w:t xml:space="preserve"> </w:t>
      </w:r>
      <w:proofErr w:type="spellStart"/>
      <w:r w:rsidRPr="0068698A">
        <w:t>any</w:t>
      </w:r>
      <w:proofErr w:type="spellEnd"/>
      <w:r w:rsidRPr="0068698A">
        <w:t xml:space="preserve">). </w:t>
      </w:r>
      <w:proofErr w:type="spellStart"/>
      <w:r w:rsidRPr="0068698A">
        <w:t>Recently</w:t>
      </w:r>
      <w:proofErr w:type="spellEnd"/>
      <w:r w:rsidRPr="0068698A">
        <w:t xml:space="preserve"> </w:t>
      </w:r>
      <w:proofErr w:type="spellStart"/>
      <w:r w:rsidRPr="0068698A">
        <w:t>Meyer,Främling,and</w:t>
      </w:r>
      <w:proofErr w:type="spellEnd"/>
      <w:r w:rsidRPr="0068698A">
        <w:t xml:space="preserve"> </w:t>
      </w:r>
      <w:proofErr w:type="spellStart"/>
      <w:r w:rsidRPr="0068698A">
        <w:t>Holmström</w:t>
      </w:r>
      <w:proofErr w:type="spellEnd"/>
      <w:r w:rsidRPr="0068698A">
        <w:t xml:space="preserve"> (2009) </w:t>
      </w:r>
      <w:proofErr w:type="spellStart"/>
      <w:r w:rsidRPr="0068698A">
        <w:t>pointed</w:t>
      </w:r>
      <w:proofErr w:type="spellEnd"/>
      <w:r w:rsidRPr="0068698A">
        <w:t xml:space="preserve"> </w:t>
      </w:r>
      <w:proofErr w:type="spellStart"/>
      <w:r w:rsidRPr="0068698A">
        <w:t>out</w:t>
      </w:r>
      <w:proofErr w:type="spellEnd"/>
      <w:r w:rsidRPr="0068698A">
        <w:t xml:space="preserve"> </w:t>
      </w:r>
      <w:proofErr w:type="spellStart"/>
      <w:r w:rsidRPr="0068698A">
        <w:t>that</w:t>
      </w:r>
      <w:proofErr w:type="spellEnd"/>
      <w:r w:rsidRPr="0068698A">
        <w:t xml:space="preserve"> </w:t>
      </w:r>
      <w:proofErr w:type="spellStart"/>
      <w:r w:rsidRPr="0068698A">
        <w:t>the</w:t>
      </w:r>
      <w:proofErr w:type="spellEnd"/>
      <w:r w:rsidRPr="0068698A">
        <w:t xml:space="preserve"> </w:t>
      </w:r>
      <w:proofErr w:type="spellStart"/>
      <w:r w:rsidRPr="0068698A">
        <w:t>gradual</w:t>
      </w:r>
      <w:proofErr w:type="spellEnd"/>
      <w:r w:rsidRPr="0068698A">
        <w:t xml:space="preserve"> </w:t>
      </w:r>
      <w:proofErr w:type="spellStart"/>
      <w:r w:rsidRPr="0068698A">
        <w:t>reduction</w:t>
      </w:r>
      <w:proofErr w:type="spellEnd"/>
      <w:r w:rsidRPr="0068698A">
        <w:t xml:space="preserve"> </w:t>
      </w:r>
      <w:proofErr w:type="spellStart"/>
      <w:r w:rsidRPr="0068698A">
        <w:t>in</w:t>
      </w:r>
      <w:proofErr w:type="spellEnd"/>
      <w:r w:rsidRPr="0068698A">
        <w:t xml:space="preserve"> </w:t>
      </w:r>
      <w:proofErr w:type="spellStart"/>
      <w:r w:rsidRPr="0068698A">
        <w:t>the</w:t>
      </w:r>
      <w:proofErr w:type="spellEnd"/>
      <w:r w:rsidRPr="0068698A">
        <w:t xml:space="preserve"> </w:t>
      </w:r>
      <w:proofErr w:type="spellStart"/>
      <w:r w:rsidRPr="0068698A">
        <w:t>cost</w:t>
      </w:r>
      <w:proofErr w:type="spellEnd"/>
      <w:r w:rsidRPr="0068698A">
        <w:t xml:space="preserve"> </w:t>
      </w:r>
      <w:proofErr w:type="spellStart"/>
      <w:r w:rsidRPr="0068698A">
        <w:t>of</w:t>
      </w:r>
      <w:proofErr w:type="spellEnd"/>
      <w:r w:rsidRPr="0068698A">
        <w:t xml:space="preserve"> RFID </w:t>
      </w:r>
      <w:proofErr w:type="spellStart"/>
      <w:r w:rsidRPr="0068698A">
        <w:t>technology</w:t>
      </w:r>
      <w:proofErr w:type="spellEnd"/>
      <w:r w:rsidRPr="0068698A">
        <w:t xml:space="preserve"> </w:t>
      </w:r>
      <w:proofErr w:type="spellStart"/>
      <w:r w:rsidRPr="0068698A">
        <w:t>made</w:t>
      </w:r>
      <w:proofErr w:type="spellEnd"/>
      <w:r w:rsidRPr="0068698A">
        <w:t xml:space="preserve"> </w:t>
      </w:r>
      <w:proofErr w:type="spellStart"/>
      <w:r w:rsidRPr="0068698A">
        <w:t>it</w:t>
      </w:r>
      <w:proofErr w:type="spellEnd"/>
      <w:r w:rsidRPr="0068698A">
        <w:t xml:space="preserve"> </w:t>
      </w:r>
      <w:proofErr w:type="spellStart"/>
      <w:r w:rsidRPr="0068698A">
        <w:t>possible</w:t>
      </w:r>
      <w:proofErr w:type="spellEnd"/>
      <w:r w:rsidRPr="0068698A">
        <w:t xml:space="preserve"> </w:t>
      </w:r>
      <w:proofErr w:type="spellStart"/>
      <w:r w:rsidRPr="0068698A">
        <w:t>to</w:t>
      </w:r>
      <w:proofErr w:type="spellEnd"/>
      <w:r w:rsidRPr="0068698A">
        <w:t xml:space="preserve"> </w:t>
      </w:r>
      <w:proofErr w:type="spellStart"/>
      <w:r w:rsidRPr="0068698A">
        <w:t>track</w:t>
      </w:r>
      <w:proofErr w:type="spellEnd"/>
      <w:r w:rsidRPr="0068698A">
        <w:t xml:space="preserve"> </w:t>
      </w:r>
      <w:proofErr w:type="spellStart"/>
      <w:r w:rsidRPr="0068698A">
        <w:t>and</w:t>
      </w:r>
      <w:proofErr w:type="spellEnd"/>
      <w:r w:rsidRPr="00922DF9">
        <w:rPr>
          <w:lang w:val="en-US"/>
        </w:rPr>
        <w:t xml:space="preserve"> trace not only expensive products but also small and cheap ones. However the cost remains one of the major obstacles in the diffusion of the RFID technology in agriculture. Zhu, </w:t>
      </w:r>
      <w:proofErr w:type="spellStart"/>
      <w:r w:rsidRPr="00922DF9">
        <w:rPr>
          <w:lang w:val="en-US"/>
        </w:rPr>
        <w:t>Mukhopadhyay</w:t>
      </w:r>
      <w:proofErr w:type="spellEnd"/>
      <w:r w:rsidRPr="00922DF9">
        <w:rPr>
          <w:lang w:val="en-US"/>
        </w:rPr>
        <w:t xml:space="preserve">, and </w:t>
      </w:r>
      <w:proofErr w:type="spellStart"/>
      <w:r w:rsidRPr="00922DF9">
        <w:rPr>
          <w:lang w:val="en-US"/>
        </w:rPr>
        <w:t>Kurata</w:t>
      </w:r>
      <w:proofErr w:type="spellEnd"/>
      <w:r w:rsidRPr="00922DF9">
        <w:rPr>
          <w:lang w:val="en-US"/>
        </w:rPr>
        <w:t xml:space="preserve"> (2012) report that currently the passive Ultra High Frequency (UHF) tags sell for about 10 cents US Dollars (USD) each, which can be a very high cost for agricultural products.</w:t>
      </w:r>
    </w:p>
    <w:p w:rsidR="00893FC7" w:rsidRPr="00922DF9" w:rsidRDefault="00893FC7" w:rsidP="00893FC7">
      <w:pPr>
        <w:pStyle w:val="ae"/>
        <w:rPr>
          <w:lang w:val="en-US"/>
        </w:rPr>
      </w:pPr>
      <w:r w:rsidRPr="00922DF9">
        <w:rPr>
          <w:lang w:val="en-US"/>
        </w:rPr>
        <w:lastRenderedPageBreak/>
        <w:t>In this sense the core of the traceability design process is to realize a system offering the right degree of information at an acceptable cost (Cheng &amp; Simmons, 1994). This involves a right choice of the traceable unit to be monitored in order to set up the optimal traceability level maximizing the total profit of the supply chain.</w:t>
      </w:r>
    </w:p>
    <w:p w:rsidR="00893FC7" w:rsidRPr="00843573" w:rsidRDefault="00893FC7" w:rsidP="00843573">
      <w:pPr>
        <w:pStyle w:val="2"/>
        <w:rPr>
          <w:lang w:val="en-US"/>
        </w:rPr>
      </w:pPr>
      <w:r w:rsidRPr="00843573">
        <w:rPr>
          <w:lang w:val="en-US"/>
        </w:rPr>
        <w:t xml:space="preserve"> </w:t>
      </w:r>
      <w:bookmarkStart w:id="2" w:name="_Toc214551808"/>
      <w:r w:rsidRPr="00843573">
        <w:rPr>
          <w:lang w:val="en-US"/>
        </w:rPr>
        <w:t>The RFID technology for traceability systems</w:t>
      </w:r>
      <w:bookmarkEnd w:id="2"/>
    </w:p>
    <w:p w:rsidR="00893FC7" w:rsidRPr="00922DF9" w:rsidRDefault="00893FC7" w:rsidP="00893FC7">
      <w:pPr>
        <w:pStyle w:val="ae"/>
        <w:rPr>
          <w:lang w:val="en-US"/>
        </w:rPr>
      </w:pPr>
      <w:r w:rsidRPr="00922DF9">
        <w:rPr>
          <w:lang w:val="en-US"/>
        </w:rPr>
        <w:t xml:space="preserve">RFID is a technology which has recently gained the attention of industry due to its wide potential of application in different fields (see for example Zhu et al., 2012). RFID tags can be divided in three types: passive, semi passive (or </w:t>
      </w:r>
      <w:proofErr w:type="spellStart"/>
      <w:r w:rsidRPr="00922DF9">
        <w:rPr>
          <w:lang w:val="en-US"/>
        </w:rPr>
        <w:t>semiactive</w:t>
      </w:r>
      <w:proofErr w:type="spellEnd"/>
      <w:r w:rsidRPr="00922DF9">
        <w:rPr>
          <w:lang w:val="en-US"/>
        </w:rPr>
        <w:t xml:space="preserve">) and active. Passive tags do not have a battery; they use the energy that the electromagnetic wave from the reader induces in the antenna to power up the chip and to transmit the data back to the reader. Passive tags reflect energy from the reader or receive and temporarily store the energy in order to generate the tag response to the reader. Since they do not have a proper source of power the lifetime is almost unlimited. An active tag has its own power source, typically a battery, to run the chip and to transmit the data to the reader. An active tag allows very low-level signals to be received and can still generate high-level signal to be transmitted back to the reader. The active tag lies in sleep-mode until it gets a wake-up signal from the reader. As soon as the tag gets the wake-up signal the data carrier gets into operating mode. After the completion of the data transaction the tag gets into sleep-mode again. Because the active tag has a battery onboard they can transmit data without requiring a reader to power them. They have therefore much longer reading range then a passive tag (few meters </w:t>
      </w:r>
      <w:proofErr w:type="spellStart"/>
      <w:r w:rsidRPr="00922DF9">
        <w:rPr>
          <w:lang w:val="en-US"/>
        </w:rPr>
        <w:t>vs</w:t>
      </w:r>
      <w:proofErr w:type="spellEnd"/>
      <w:r w:rsidRPr="00922DF9">
        <w:rPr>
          <w:lang w:val="en-US"/>
        </w:rPr>
        <w:t xml:space="preserve"> hundreds of meters). On the other hand because they have a battery they have finite lifetime. Active </w:t>
      </w:r>
      <w:proofErr w:type="gramStart"/>
      <w:r w:rsidRPr="00922DF9">
        <w:rPr>
          <w:lang w:val="en-US"/>
        </w:rPr>
        <w:t>tags,</w:t>
      </w:r>
      <w:proofErr w:type="gramEnd"/>
      <w:r w:rsidRPr="00922DF9">
        <w:rPr>
          <w:lang w:val="en-US"/>
        </w:rPr>
        <w:t xml:space="preserve"> also incorporate a memory, a battery and a clock to record sensor data in memory at constant intervals. </w:t>
      </w:r>
      <w:proofErr w:type="spellStart"/>
      <w:r w:rsidRPr="00922DF9">
        <w:rPr>
          <w:lang w:val="en-US"/>
        </w:rPr>
        <w:t>Semipassive</w:t>
      </w:r>
      <w:proofErr w:type="spellEnd"/>
      <w:r w:rsidRPr="00922DF9">
        <w:rPr>
          <w:lang w:val="en-US"/>
        </w:rPr>
        <w:t>, or semi-active tags, also have an onboard battery. The battery in this case is only used to power the sensor and recording logic (to operate the chip). In fact, unlike active tags, semi passive tags are not able to initiate communications with the reader. Like the passive tag it uses the energy in the electromagnetic field to wake up the chip and to transmit the data to the reader. Sometimes semi-passive tags are equipped with a sensor enabling the detection of environmental factors (like temperature, humidity, light and concentration of gases).</w:t>
      </w:r>
    </w:p>
    <w:p w:rsidR="00893FC7" w:rsidRPr="00922DF9" w:rsidRDefault="00893FC7" w:rsidP="00893FC7">
      <w:pPr>
        <w:pStyle w:val="ae"/>
        <w:rPr>
          <w:lang w:val="en-US"/>
        </w:rPr>
      </w:pPr>
      <w:r w:rsidRPr="00922DF9">
        <w:rPr>
          <w:lang w:val="en-US"/>
        </w:rPr>
        <w:t>Each RFID system operates within a given frequency range. The frequency range in which a RFID system operates determines key capabilities and limitations in the system. For example, the higher the frequency, the shorter the wavelength and the harder for a radio signal to go around or through obstacles to reach a receiver.</w:t>
      </w:r>
    </w:p>
    <w:p w:rsidR="00893FC7" w:rsidRPr="00922DF9" w:rsidRDefault="00893FC7" w:rsidP="00893FC7">
      <w:pPr>
        <w:pStyle w:val="ae"/>
        <w:rPr>
          <w:lang w:val="en-US"/>
        </w:rPr>
      </w:pPr>
      <w:r w:rsidRPr="00922DF9">
        <w:rPr>
          <w:lang w:val="en-US"/>
        </w:rPr>
        <w:lastRenderedPageBreak/>
        <w:t xml:space="preserve">Table 1 highlights that passive and semi- passive/active tags can be proper employed for the purpose of traceability in supply chains. In fact a RFID tag “follows” the item moving along the supply chain, allowing the dynamic monitoring of products from the production site to the consumer thus enabling producers, logistics groups and costumers to trace their goods at any time. The possibility to embed RFID tags with temperature, humidity, solar irradiation, gas and/or shock sensors, incorporating sensing capabilities allows </w:t>
      </w:r>
      <w:proofErr w:type="gramStart"/>
      <w:r w:rsidRPr="00922DF9">
        <w:rPr>
          <w:lang w:val="en-US"/>
        </w:rPr>
        <w:t>to measure</w:t>
      </w:r>
      <w:proofErr w:type="gramEnd"/>
      <w:r w:rsidRPr="00922DF9">
        <w:rPr>
          <w:lang w:val="en-US"/>
        </w:rPr>
        <w:t xml:space="preserve"> both physical and chemical parameters (see for example </w:t>
      </w:r>
      <w:proofErr w:type="spellStart"/>
      <w:r w:rsidRPr="00922DF9">
        <w:rPr>
          <w:lang w:val="en-US"/>
        </w:rPr>
        <w:t>Vergara</w:t>
      </w:r>
      <w:proofErr w:type="spellEnd"/>
      <w:r w:rsidRPr="00922DF9">
        <w:rPr>
          <w:lang w:val="en-US"/>
        </w:rPr>
        <w:t xml:space="preserve"> et al., 2007). Ruiz-Garcia and </w:t>
      </w:r>
      <w:proofErr w:type="spellStart"/>
      <w:r w:rsidRPr="00922DF9">
        <w:rPr>
          <w:lang w:val="en-US"/>
        </w:rPr>
        <w:t>Lunadei</w:t>
      </w:r>
      <w:proofErr w:type="spellEnd"/>
      <w:r w:rsidRPr="00922DF9">
        <w:rPr>
          <w:lang w:val="en-US"/>
        </w:rPr>
        <w:t xml:space="preserve"> (2011) who addressed the use of RFID in the specific field of agriculture report </w:t>
      </w:r>
      <w:proofErr w:type="gramStart"/>
      <w:r w:rsidRPr="00922DF9">
        <w:rPr>
          <w:lang w:val="en-US"/>
        </w:rPr>
        <w:t xml:space="preserve">that active and </w:t>
      </w:r>
      <w:proofErr w:type="spellStart"/>
      <w:r w:rsidRPr="00922DF9">
        <w:rPr>
          <w:lang w:val="en-US"/>
        </w:rPr>
        <w:t>semipassive</w:t>
      </w:r>
      <w:proofErr w:type="spellEnd"/>
      <w:r w:rsidRPr="00922DF9">
        <w:rPr>
          <w:lang w:val="en-US"/>
        </w:rPr>
        <w:t xml:space="preserve"> tags</w:t>
      </w:r>
      <w:proofErr w:type="gramEnd"/>
      <w:r w:rsidRPr="00922DF9">
        <w:rPr>
          <w:lang w:val="en-US"/>
        </w:rPr>
        <w:t xml:space="preserve"> are usually employed to collect temperature information. Other semi-passive tags outfitted with sensor allow </w:t>
      </w:r>
      <w:proofErr w:type="gramStart"/>
      <w:r w:rsidRPr="00922DF9">
        <w:rPr>
          <w:lang w:val="en-US"/>
        </w:rPr>
        <w:t>to detect</w:t>
      </w:r>
      <w:proofErr w:type="gramEnd"/>
      <w:r w:rsidRPr="00922DF9">
        <w:rPr>
          <w:lang w:val="en-US"/>
        </w:rPr>
        <w:t xml:space="preserve"> humidity, shock/vibration, light, pH and concentration of gases, such as acetaldehyde or ethylene.</w:t>
      </w:r>
    </w:p>
    <w:p w:rsidR="00893FC7" w:rsidRPr="00922DF9" w:rsidRDefault="00893FC7" w:rsidP="00C872DE">
      <w:pPr>
        <w:pStyle w:val="ae"/>
        <w:rPr>
          <w:lang w:val="en-US"/>
        </w:rPr>
      </w:pPr>
      <w:r w:rsidRPr="00922DF9">
        <w:rPr>
          <w:lang w:val="en-US"/>
        </w:rPr>
        <w:t xml:space="preserve">Such parameters can be proper translated into quality attribute of products by means of mathematical models as can be found for example in </w:t>
      </w:r>
      <w:proofErr w:type="spellStart"/>
      <w:r w:rsidRPr="00922DF9">
        <w:rPr>
          <w:lang w:val="en-US"/>
        </w:rPr>
        <w:t>Giannakourou</w:t>
      </w:r>
      <w:proofErr w:type="spellEnd"/>
      <w:r w:rsidRPr="00922DF9">
        <w:rPr>
          <w:lang w:val="en-US"/>
        </w:rPr>
        <w:t xml:space="preserve"> and </w:t>
      </w:r>
      <w:proofErr w:type="spellStart"/>
      <w:r w:rsidRPr="00922DF9">
        <w:rPr>
          <w:lang w:val="en-US"/>
        </w:rPr>
        <w:t>Taoukis</w:t>
      </w:r>
      <w:proofErr w:type="spellEnd"/>
      <w:r w:rsidRPr="00922DF9">
        <w:rPr>
          <w:lang w:val="en-US"/>
        </w:rPr>
        <w:t xml:space="preserve"> (2003a, 2003b) who proposed a mathematical model for the assessment of the SL of frozen green vegetables following the Arrhenius Law.</w:t>
      </w:r>
    </w:p>
    <w:p w:rsidR="00893FC7" w:rsidRPr="00893FC7" w:rsidRDefault="00893FC7" w:rsidP="00165A1B">
      <w:pPr>
        <w:pStyle w:val="-"/>
        <w:rPr>
          <w:lang w:val="en-US"/>
        </w:rPr>
      </w:pPr>
      <w:r w:rsidRPr="00893FC7">
        <w:rPr>
          <w:lang w:val="en-US"/>
        </w:rPr>
        <w:t>Main application fields of the RFID tags.</w:t>
      </w:r>
    </w:p>
    <w:tbl>
      <w:tblPr>
        <w:tblStyle w:val="af5"/>
        <w:tblW w:w="9570" w:type="dxa"/>
        <w:tblLook w:val="04A0"/>
      </w:tblPr>
      <w:tblGrid>
        <w:gridCol w:w="3190"/>
        <w:gridCol w:w="3190"/>
        <w:gridCol w:w="3190"/>
      </w:tblGrid>
      <w:tr w:rsidR="00165A1B" w:rsidTr="00165A1B">
        <w:tc>
          <w:tcPr>
            <w:tcW w:w="3190" w:type="dxa"/>
          </w:tcPr>
          <w:p w:rsidR="00165A1B" w:rsidRDefault="00165A1B" w:rsidP="00165A1B">
            <w:pPr>
              <w:pStyle w:val="-1"/>
            </w:pPr>
            <w:proofErr w:type="spellStart"/>
            <w:r>
              <w:t>Frequency</w:t>
            </w:r>
            <w:proofErr w:type="spellEnd"/>
          </w:p>
        </w:tc>
        <w:tc>
          <w:tcPr>
            <w:tcW w:w="3190" w:type="dxa"/>
          </w:tcPr>
          <w:p w:rsidR="00165A1B" w:rsidRDefault="00165A1B" w:rsidP="00165A1B">
            <w:pPr>
              <w:pStyle w:val="-1"/>
            </w:pPr>
            <w:proofErr w:type="spellStart"/>
            <w:r>
              <w:t>Main</w:t>
            </w:r>
            <w:proofErr w:type="spellEnd"/>
            <w:r>
              <w:t xml:space="preserve"> </w:t>
            </w:r>
            <w:proofErr w:type="spellStart"/>
            <w:r>
              <w:t>application</w:t>
            </w:r>
            <w:proofErr w:type="spellEnd"/>
            <w:r>
              <w:t xml:space="preserve"> </w:t>
            </w:r>
            <w:proofErr w:type="spellStart"/>
            <w:r>
              <w:t>fields</w:t>
            </w:r>
            <w:proofErr w:type="spellEnd"/>
          </w:p>
        </w:tc>
        <w:tc>
          <w:tcPr>
            <w:tcW w:w="3190" w:type="dxa"/>
          </w:tcPr>
          <w:p w:rsidR="00165A1B" w:rsidRDefault="00165A1B" w:rsidP="00165A1B">
            <w:pPr>
              <w:pStyle w:val="-1"/>
            </w:pPr>
            <w:proofErr w:type="spellStart"/>
            <w:r>
              <w:t>Type</w:t>
            </w:r>
            <w:proofErr w:type="spellEnd"/>
            <w:r>
              <w:t xml:space="preserve"> </w:t>
            </w:r>
            <w:proofErr w:type="spellStart"/>
            <w:r>
              <w:t>of</w:t>
            </w:r>
            <w:proofErr w:type="spellEnd"/>
            <w:r>
              <w:t xml:space="preserve"> </w:t>
            </w:r>
            <w:proofErr w:type="spellStart"/>
            <w:r>
              <w:t>tag</w:t>
            </w:r>
            <w:proofErr w:type="spellEnd"/>
          </w:p>
        </w:tc>
      </w:tr>
      <w:tr w:rsidR="00165A1B" w:rsidTr="00165A1B">
        <w:tc>
          <w:tcPr>
            <w:tcW w:w="3190" w:type="dxa"/>
          </w:tcPr>
          <w:p w:rsidR="00165A1B" w:rsidRDefault="00165A1B" w:rsidP="00165A1B">
            <w:pPr>
              <w:pStyle w:val="-1"/>
            </w:pPr>
            <w:r>
              <w:t xml:space="preserve">LF (125 </w:t>
            </w:r>
            <w:proofErr w:type="spellStart"/>
            <w:r>
              <w:t>kHz</w:t>
            </w:r>
            <w:proofErr w:type="spellEnd"/>
            <w:r>
              <w:t>)</w:t>
            </w:r>
          </w:p>
        </w:tc>
        <w:tc>
          <w:tcPr>
            <w:tcW w:w="3190" w:type="dxa"/>
          </w:tcPr>
          <w:p w:rsidR="00165A1B" w:rsidRPr="00165A1B" w:rsidRDefault="00165A1B" w:rsidP="00165A1B">
            <w:pPr>
              <w:pStyle w:val="-1"/>
              <w:rPr>
                <w:lang w:val="en-US"/>
              </w:rPr>
            </w:pPr>
            <w:r w:rsidRPr="00165A1B">
              <w:rPr>
                <w:lang w:val="en-US"/>
              </w:rPr>
              <w:t>Car immobilization, access control systems, gas readers, animal identification</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HF (13.56 </w:t>
            </w:r>
            <w:proofErr w:type="spellStart"/>
            <w:r>
              <w:t>MHz</w:t>
            </w:r>
            <w:proofErr w:type="spellEnd"/>
            <w:r>
              <w:t>)</w:t>
            </w:r>
          </w:p>
        </w:tc>
        <w:tc>
          <w:tcPr>
            <w:tcW w:w="3190" w:type="dxa"/>
          </w:tcPr>
          <w:p w:rsidR="00165A1B" w:rsidRPr="00165A1B" w:rsidRDefault="00165A1B" w:rsidP="00165A1B">
            <w:pPr>
              <w:pStyle w:val="-1"/>
              <w:rPr>
                <w:lang w:val="en-US"/>
              </w:rPr>
            </w:pPr>
            <w:r w:rsidRPr="00165A1B">
              <w:rPr>
                <w:lang w:val="en-US"/>
              </w:rPr>
              <w:t>Access control systems, contactless credit cards identification badges, baggage handling, ticketing, tracking and tracing, multi access, library management, payment card</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UHF (868 </w:t>
            </w:r>
            <w:proofErr w:type="spellStart"/>
            <w:r>
              <w:t>MHz</w:t>
            </w:r>
            <w:proofErr w:type="spellEnd"/>
            <w:r>
              <w:t>)</w:t>
            </w:r>
          </w:p>
        </w:tc>
        <w:tc>
          <w:tcPr>
            <w:tcW w:w="3190" w:type="dxa"/>
          </w:tcPr>
          <w:p w:rsidR="00165A1B" w:rsidRPr="00165A1B" w:rsidRDefault="00165A1B" w:rsidP="00165A1B">
            <w:pPr>
              <w:pStyle w:val="-1"/>
              <w:rPr>
                <w:lang w:val="en-US"/>
              </w:rPr>
            </w:pPr>
            <w:r w:rsidRPr="00165A1B">
              <w:rPr>
                <w:lang w:val="en-US"/>
              </w:rPr>
              <w:t>Tracking, supply chain management, inventory management</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SHF (2.45 </w:t>
            </w:r>
            <w:proofErr w:type="spellStart"/>
            <w:r>
              <w:t>GHz</w:t>
            </w:r>
            <w:proofErr w:type="spellEnd"/>
            <w:r>
              <w:t>)</w:t>
            </w:r>
          </w:p>
        </w:tc>
        <w:tc>
          <w:tcPr>
            <w:tcW w:w="3190" w:type="dxa"/>
          </w:tcPr>
          <w:p w:rsidR="00165A1B" w:rsidRPr="00165A1B" w:rsidRDefault="00165A1B" w:rsidP="00165A1B">
            <w:pPr>
              <w:pStyle w:val="-1"/>
              <w:rPr>
                <w:lang w:val="en-US"/>
              </w:rPr>
            </w:pPr>
            <w:r w:rsidRPr="00165A1B">
              <w:rPr>
                <w:lang w:val="en-US"/>
              </w:rPr>
              <w:t>Fleet identification, electronic tool, container tracking, production control, environmental sensors</w:t>
            </w:r>
          </w:p>
        </w:tc>
        <w:tc>
          <w:tcPr>
            <w:tcW w:w="3190" w:type="dxa"/>
          </w:tcPr>
          <w:p w:rsidR="00165A1B" w:rsidRDefault="00165A1B" w:rsidP="00165A1B">
            <w:pPr>
              <w:pStyle w:val="-1"/>
            </w:pPr>
            <w:proofErr w:type="spellStart"/>
            <w:r>
              <w:t>Passive</w:t>
            </w:r>
            <w:proofErr w:type="spellEnd"/>
            <w:r>
              <w:t xml:space="preserve">, </w:t>
            </w:r>
            <w:proofErr w:type="spellStart"/>
            <w:r>
              <w:t>semi</w:t>
            </w:r>
            <w:proofErr w:type="spellEnd"/>
            <w:r>
              <w:t xml:space="preserve">- </w:t>
            </w:r>
            <w:proofErr w:type="spellStart"/>
            <w:r>
              <w:t>passive</w:t>
            </w:r>
            <w:proofErr w:type="spellEnd"/>
            <w:r>
              <w:t xml:space="preserve">, </w:t>
            </w:r>
            <w:proofErr w:type="spellStart"/>
            <w:r>
              <w:t>active</w:t>
            </w:r>
            <w:proofErr w:type="spellEnd"/>
          </w:p>
        </w:tc>
      </w:tr>
      <w:tr w:rsidR="00165A1B" w:rsidTr="00165A1B">
        <w:tc>
          <w:tcPr>
            <w:tcW w:w="3190" w:type="dxa"/>
          </w:tcPr>
          <w:p w:rsidR="00165A1B" w:rsidRDefault="00165A1B" w:rsidP="00165A1B">
            <w:pPr>
              <w:pStyle w:val="-1"/>
            </w:pPr>
            <w:r>
              <w:t xml:space="preserve">UWB (3.1–10.6 </w:t>
            </w:r>
            <w:proofErr w:type="spellStart"/>
            <w:r>
              <w:t>GHz</w:t>
            </w:r>
            <w:proofErr w:type="spellEnd"/>
            <w:r>
              <w:t>)</w:t>
            </w:r>
          </w:p>
        </w:tc>
        <w:tc>
          <w:tcPr>
            <w:tcW w:w="3190" w:type="dxa"/>
          </w:tcPr>
          <w:p w:rsidR="00165A1B" w:rsidRDefault="00165A1B" w:rsidP="00165A1B">
            <w:pPr>
              <w:pStyle w:val="-1"/>
            </w:pPr>
            <w:proofErr w:type="spellStart"/>
            <w:r>
              <w:t>Asset</w:t>
            </w:r>
            <w:proofErr w:type="spellEnd"/>
            <w:r>
              <w:t xml:space="preserve"> </w:t>
            </w:r>
            <w:proofErr w:type="spellStart"/>
            <w:r>
              <w:t>tracking</w:t>
            </w:r>
            <w:proofErr w:type="spellEnd"/>
          </w:p>
        </w:tc>
        <w:tc>
          <w:tcPr>
            <w:tcW w:w="3190" w:type="dxa"/>
          </w:tcPr>
          <w:p w:rsidR="00165A1B" w:rsidRDefault="00165A1B" w:rsidP="00165A1B">
            <w:pPr>
              <w:pStyle w:val="-1"/>
            </w:pPr>
            <w:proofErr w:type="spellStart"/>
            <w:r>
              <w:t>Semi-passive</w:t>
            </w:r>
            <w:proofErr w:type="spellEnd"/>
            <w:r>
              <w:t xml:space="preserve">, </w:t>
            </w:r>
            <w:proofErr w:type="spellStart"/>
            <w:r>
              <w:t>active</w:t>
            </w:r>
            <w:proofErr w:type="spellEnd"/>
          </w:p>
        </w:tc>
      </w:tr>
    </w:tbl>
    <w:p w:rsidR="00893FC7" w:rsidRPr="00922DF9" w:rsidRDefault="00893FC7" w:rsidP="00893FC7">
      <w:pPr>
        <w:pStyle w:val="ae"/>
        <w:rPr>
          <w:lang w:val="en-US"/>
        </w:rPr>
      </w:pPr>
    </w:p>
    <w:p w:rsidR="00893FC7" w:rsidRPr="00922DF9" w:rsidRDefault="00893FC7" w:rsidP="00893FC7">
      <w:pPr>
        <w:pStyle w:val="ae"/>
        <w:rPr>
          <w:lang w:val="en-US"/>
        </w:rPr>
      </w:pPr>
      <w:r w:rsidRPr="00922DF9">
        <w:rPr>
          <w:lang w:val="en-US"/>
        </w:rPr>
        <w:t xml:space="preserve">The unique identification associated to each tag allows the identification of individuals’ items thus combining quality management with the inspection function. This allows </w:t>
      </w:r>
      <w:proofErr w:type="gramStart"/>
      <w:r w:rsidRPr="00922DF9">
        <w:rPr>
          <w:lang w:val="en-US"/>
        </w:rPr>
        <w:t>to know</w:t>
      </w:r>
      <w:proofErr w:type="gramEnd"/>
      <w:r w:rsidRPr="00922DF9">
        <w:rPr>
          <w:lang w:val="en-US"/>
        </w:rPr>
        <w:t xml:space="preserve"> either the localization of a batch in every stage of the chain and its current quality conditions. Consequently the RFID enables to develop an automated traceability system for the granularity </w:t>
      </w:r>
      <w:r w:rsidRPr="00922DF9">
        <w:rPr>
          <w:lang w:val="en-US"/>
        </w:rPr>
        <w:lastRenderedPageBreak/>
        <w:t xml:space="preserve">level required and perform an inspection system of the entire production. The positive impact of RFID applications in traceability systems has been proven with regard to both the identification and movement tracing of products (Kim &amp; </w:t>
      </w:r>
      <w:proofErr w:type="spellStart"/>
      <w:r w:rsidRPr="00922DF9">
        <w:rPr>
          <w:lang w:val="en-US"/>
        </w:rPr>
        <w:t>Sohn</w:t>
      </w:r>
      <w:proofErr w:type="spellEnd"/>
      <w:r w:rsidRPr="00922DF9">
        <w:rPr>
          <w:lang w:val="en-US"/>
        </w:rPr>
        <w:t xml:space="preserve">, 2009, </w:t>
      </w:r>
      <w:proofErr w:type="spellStart"/>
      <w:r w:rsidRPr="00922DF9">
        <w:rPr>
          <w:lang w:val="en-US"/>
        </w:rPr>
        <w:t>Piramuthu</w:t>
      </w:r>
      <w:proofErr w:type="spellEnd"/>
      <w:r w:rsidRPr="00922DF9">
        <w:rPr>
          <w:lang w:val="en-US"/>
        </w:rPr>
        <w:t xml:space="preserve">, </w:t>
      </w:r>
      <w:proofErr w:type="spellStart"/>
      <w:r w:rsidRPr="00922DF9">
        <w:rPr>
          <w:lang w:val="en-US"/>
        </w:rPr>
        <w:t>Farahani</w:t>
      </w:r>
      <w:proofErr w:type="spellEnd"/>
      <w:r w:rsidRPr="00922DF9">
        <w:rPr>
          <w:lang w:val="en-US"/>
        </w:rPr>
        <w:t xml:space="preserve">, &amp; </w:t>
      </w:r>
      <w:proofErr w:type="spellStart"/>
      <w:r w:rsidRPr="00922DF9">
        <w:rPr>
          <w:lang w:val="en-US"/>
        </w:rPr>
        <w:t>Grunow</w:t>
      </w:r>
      <w:proofErr w:type="spellEnd"/>
      <w:r w:rsidRPr="00922DF9">
        <w:rPr>
          <w:lang w:val="en-US"/>
        </w:rPr>
        <w:t>, 2013). The fundamental question for the adoption of such automated traceability systems is whether they can create a value justifying their investment and how the RFID value can be measured. The problem which arises, hence, is to determine the optimal granularity level of the traceability system (optimal number of units for a batch) which maximizes the profit of the entire chain. For this purpose it is necessary to consider the costs incurred by the chain when the traceability system is implemented (e.g. infrastructural costs related to devices employed for the identification and quality monitoring) and to determine the conditions which allow to improve the supply chain performance in terms of profit achievable if compared with the case in which the traceability system is not adopted.</w:t>
      </w:r>
    </w:p>
    <w:p w:rsidR="00893FC7" w:rsidRPr="00843573" w:rsidRDefault="00893FC7" w:rsidP="00843573">
      <w:pPr>
        <w:pStyle w:val="2"/>
        <w:rPr>
          <w:lang w:val="en-US"/>
        </w:rPr>
      </w:pPr>
      <w:r w:rsidRPr="00843573">
        <w:rPr>
          <w:lang w:val="en-US"/>
        </w:rPr>
        <w:t xml:space="preserve"> </w:t>
      </w:r>
      <w:bookmarkStart w:id="3" w:name="_Toc214551809"/>
      <w:r w:rsidRPr="00843573">
        <w:rPr>
          <w:lang w:val="en-US"/>
        </w:rPr>
        <w:t>The supply chain approach for products traceability</w:t>
      </w:r>
      <w:bookmarkEnd w:id="3"/>
    </w:p>
    <w:p w:rsidR="00893FC7" w:rsidRPr="00922DF9" w:rsidRDefault="00893FC7" w:rsidP="00C872DE">
      <w:pPr>
        <w:pStyle w:val="ae"/>
        <w:rPr>
          <w:lang w:val="en-US"/>
        </w:rPr>
      </w:pPr>
      <w:r w:rsidRPr="00922DF9">
        <w:rPr>
          <w:lang w:val="en-US"/>
        </w:rPr>
        <w:t>Approach structure</w:t>
      </w:r>
    </w:p>
    <w:p w:rsidR="00893FC7" w:rsidRPr="00922DF9" w:rsidRDefault="00893FC7" w:rsidP="00893FC7">
      <w:pPr>
        <w:pStyle w:val="ae"/>
        <w:rPr>
          <w:lang w:val="en-US"/>
        </w:rPr>
      </w:pPr>
      <w:r w:rsidRPr="00922DF9">
        <w:rPr>
          <w:lang w:val="en-US"/>
        </w:rPr>
        <w:t>In the present study the use of an automated traceability system is considered, for monitoring the residual quality of products in a supply chain composed by a producer and a retailer.</w:t>
      </w:r>
    </w:p>
    <w:p w:rsidR="00893FC7" w:rsidRDefault="00073350" w:rsidP="00794728">
      <w:pPr>
        <w:pStyle w:val="af0"/>
        <w:rPr>
          <w:lang w:val="en-US"/>
        </w:rPr>
      </w:pPr>
      <w:r>
        <w:rPr>
          <w:noProof/>
        </w:rPr>
        <w:drawing>
          <wp:inline distT="0" distB="0" distL="0" distR="0">
            <wp:extent cx="5939790" cy="2883718"/>
            <wp:effectExtent l="19050" t="0" r="381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39790" cy="2883718"/>
                    </a:xfrm>
                    <a:prstGeom prst="rect">
                      <a:avLst/>
                    </a:prstGeom>
                    <a:noFill/>
                    <a:ln w="9525">
                      <a:noFill/>
                      <a:miter lim="800000"/>
                      <a:headEnd/>
                      <a:tailEnd/>
                    </a:ln>
                  </pic:spPr>
                </pic:pic>
              </a:graphicData>
            </a:graphic>
          </wp:inline>
        </w:drawing>
      </w:r>
    </w:p>
    <w:p w:rsidR="00794728" w:rsidRPr="00922DF9" w:rsidRDefault="00794728" w:rsidP="00794728">
      <w:pPr>
        <w:pStyle w:val="af0"/>
        <w:rPr>
          <w:lang w:val="en-US"/>
        </w:rPr>
      </w:pPr>
      <w:proofErr w:type="gramStart"/>
      <w:r>
        <w:rPr>
          <w:lang w:val="en-US"/>
        </w:rPr>
        <w:t>Figure.</w:t>
      </w:r>
      <w:proofErr w:type="gramEnd"/>
      <w:r>
        <w:rPr>
          <w:lang w:val="en-US"/>
        </w:rPr>
        <w:t xml:space="preserve"> 1.</w:t>
      </w:r>
    </w:p>
    <w:p w:rsidR="00893FC7" w:rsidRPr="00922DF9" w:rsidRDefault="00893FC7" w:rsidP="00893FC7">
      <w:pPr>
        <w:pStyle w:val="ae"/>
        <w:rPr>
          <w:lang w:val="en-US"/>
        </w:rPr>
      </w:pPr>
      <w:r w:rsidRPr="00922DF9">
        <w:rPr>
          <w:lang w:val="en-US"/>
        </w:rPr>
        <w:t xml:space="preserve">The approach considered involves an acceptance test of the production where the units with a quality attribute higher than a fixed threshold will be shipped from the producer to the retailer and sold on the target market. The batches that do not pass the acceptance test will be </w:t>
      </w:r>
      <w:r w:rsidRPr="00922DF9">
        <w:rPr>
          <w:lang w:val="en-US"/>
        </w:rPr>
        <w:lastRenderedPageBreak/>
        <w:t>forwarded to an alternative market at a salvage value (see Fig. 1). The only activities relating the supply chain considered are the harvesting, collecting and the transportation one and no transformation activity is required along the chain.</w:t>
      </w:r>
    </w:p>
    <w:p w:rsidR="00893FC7" w:rsidRPr="00922DF9" w:rsidRDefault="00893FC7" w:rsidP="00893FC7">
      <w:pPr>
        <w:pStyle w:val="ae"/>
        <w:rPr>
          <w:lang w:val="en-US"/>
        </w:rPr>
      </w:pPr>
      <w:r w:rsidRPr="00922DF9">
        <w:rPr>
          <w:lang w:val="en-US"/>
        </w:rPr>
        <w:t xml:space="preserve">As discussed before, it is nowadays possible to equip each batch with a technological control unit, which monitors some specific parameters, representative of the deterioration level of the products inside the batch, thus providing a reliable measure of the quality level of the entire batch (see for example Piazzi et al., 2011, </w:t>
      </w:r>
      <w:proofErr w:type="spellStart"/>
      <w:r w:rsidRPr="00922DF9">
        <w:rPr>
          <w:lang w:val="en-US"/>
        </w:rPr>
        <w:t>Shrestha</w:t>
      </w:r>
      <w:proofErr w:type="spellEnd"/>
      <w:r w:rsidRPr="00922DF9">
        <w:rPr>
          <w:lang w:val="en-US"/>
        </w:rPr>
        <w:t xml:space="preserve">, </w:t>
      </w:r>
      <w:proofErr w:type="spellStart"/>
      <w:r w:rsidRPr="00922DF9">
        <w:rPr>
          <w:lang w:val="en-US"/>
        </w:rPr>
        <w:t>Agarwal</w:t>
      </w:r>
      <w:proofErr w:type="spellEnd"/>
      <w:r w:rsidRPr="00922DF9">
        <w:rPr>
          <w:lang w:val="en-US"/>
        </w:rPr>
        <w:t xml:space="preserve">, </w:t>
      </w:r>
      <w:proofErr w:type="spellStart"/>
      <w:r w:rsidRPr="00922DF9">
        <w:rPr>
          <w:lang w:val="en-US"/>
        </w:rPr>
        <w:t>Phoha</w:t>
      </w:r>
      <w:proofErr w:type="spellEnd"/>
      <w:r w:rsidRPr="00922DF9">
        <w:rPr>
          <w:lang w:val="en-US"/>
        </w:rPr>
        <w:t xml:space="preserve"> </w:t>
      </w:r>
      <w:proofErr w:type="spellStart"/>
      <w:r w:rsidRPr="00922DF9">
        <w:rPr>
          <w:lang w:val="en-US"/>
        </w:rPr>
        <w:t>Vir</w:t>
      </w:r>
      <w:proofErr w:type="spellEnd"/>
      <w:r w:rsidRPr="00922DF9">
        <w:rPr>
          <w:lang w:val="en-US"/>
        </w:rPr>
        <w:t xml:space="preserve">, &amp; </w:t>
      </w:r>
      <w:proofErr w:type="spellStart"/>
      <w:r w:rsidRPr="00922DF9">
        <w:rPr>
          <w:lang w:val="en-US"/>
        </w:rPr>
        <w:t>Varahramyan</w:t>
      </w:r>
      <w:proofErr w:type="spellEnd"/>
      <w:r w:rsidRPr="00922DF9">
        <w:rPr>
          <w:lang w:val="en-US"/>
        </w:rPr>
        <w:t>, 2009).</w:t>
      </w:r>
    </w:p>
    <w:p w:rsidR="00893FC7" w:rsidRPr="00922DF9" w:rsidRDefault="00893FC7" w:rsidP="00893FC7">
      <w:pPr>
        <w:pStyle w:val="ae"/>
        <w:rPr>
          <w:lang w:val="en-US"/>
        </w:rPr>
      </w:pPr>
      <w:r w:rsidRPr="00922DF9">
        <w:rPr>
          <w:lang w:val="en-US"/>
        </w:rPr>
        <w:t xml:space="preserve">Such parameters can therefore be read automatically by means of a proper RF based communication infrastructure involving a smart tag attached to the bin and reader devices located in the warehouse gates. In such sense, the methodology here proposed relies on RFID technology as enabling technology for effective traceability systems. The proposed approach, hence, takes into account the beneficial/costs introduced by the technology. Benefits are referred to the cost saving allowed by the technology. In fact the possibility to identify a product and the information related to its actual quality level allows the early detection of non conforming units and their withdrawal thus avoiding transport cost of products unsuitable for the target market. </w:t>
      </w:r>
      <w:proofErr w:type="gramStart"/>
      <w:r w:rsidRPr="00922DF9">
        <w:rPr>
          <w:lang w:val="en-US"/>
        </w:rPr>
        <w:t>Knowing the actual residual quality level also allows to redirect such non conforming products in an alternative market (e.g. processed foods) thus generating a salvage value rather than a disposal cost.</w:t>
      </w:r>
      <w:proofErr w:type="gramEnd"/>
      <w:r w:rsidRPr="00922DF9">
        <w:rPr>
          <w:lang w:val="en-US"/>
        </w:rPr>
        <w:t xml:space="preserve"> This residual value, together with the reduction of the disposal costs, may provide the financial leverage to cover implementation costs of the RFID infrastructure. As stated before, these costs are essentially constituted by infrastructural costs which are fixed costs and operational/maintenance costs which are variable costs. The impact of these costs will increase as the granularity of the traceability system increases; therefore the problem of the Economic Traceability Lot corresponding to the optimal granularity level of the system arises. In particular, in the following paragraph, the tradeoff between the variable costs of the RFID infrastructure and the economic benefit deriving from knowing the residual quality of products is addressed with the aim of establishing the optimal granularity level of the system.</w:t>
      </w:r>
    </w:p>
    <w:p w:rsidR="00893FC7" w:rsidRPr="00922DF9" w:rsidRDefault="00893FC7" w:rsidP="00893FC7">
      <w:pPr>
        <w:pStyle w:val="ae"/>
        <w:rPr>
          <w:lang w:val="en-US"/>
        </w:rPr>
      </w:pPr>
      <w:r w:rsidRPr="00922DF9">
        <w:rPr>
          <w:lang w:val="en-US"/>
        </w:rPr>
        <w:t>Approach formulation</w:t>
      </w:r>
    </w:p>
    <w:p w:rsidR="00893FC7" w:rsidRPr="00922DF9" w:rsidRDefault="00893FC7" w:rsidP="00893FC7">
      <w:pPr>
        <w:pStyle w:val="ae"/>
        <w:rPr>
          <w:lang w:val="en-US"/>
        </w:rPr>
      </w:pPr>
      <w:r w:rsidRPr="00922DF9">
        <w:rPr>
          <w:lang w:val="en-US"/>
        </w:rPr>
        <w:t xml:space="preserve">Since for fixed threshold the retailer will also receive deteriorated products, he will incur in a disposal cost, proportional to the quantity of products disposed. This quantity decreases with the acceptance threshold and, for fixed threshold, increases with the batch size when p &lt; </w:t>
      </w:r>
      <w:proofErr w:type="spellStart"/>
      <w:proofErr w:type="gramStart"/>
      <w:r w:rsidRPr="00922DF9">
        <w:rPr>
          <w:lang w:val="en-US"/>
        </w:rPr>
        <w:t>th</w:t>
      </w:r>
      <w:proofErr w:type="spellEnd"/>
      <w:proofErr w:type="gramEnd"/>
      <w:r w:rsidRPr="00922DF9">
        <w:rPr>
          <w:lang w:val="en-US"/>
        </w:rPr>
        <w:t xml:space="preserve"> and decreases as the batch size increases for p &gt; </w:t>
      </w:r>
      <w:proofErr w:type="spellStart"/>
      <w:r w:rsidRPr="00922DF9">
        <w:rPr>
          <w:lang w:val="en-US"/>
        </w:rPr>
        <w:t>th</w:t>
      </w:r>
      <w:proofErr w:type="spellEnd"/>
      <w:r w:rsidRPr="00922DF9">
        <w:rPr>
          <w:lang w:val="en-US"/>
        </w:rPr>
        <w:t>.</w:t>
      </w:r>
    </w:p>
    <w:p w:rsidR="00893FC7" w:rsidRPr="00922DF9" w:rsidRDefault="00893FC7" w:rsidP="00893FC7">
      <w:pPr>
        <w:pStyle w:val="ae"/>
        <w:rPr>
          <w:lang w:val="en-US"/>
        </w:rPr>
      </w:pPr>
      <w:r w:rsidRPr="00922DF9">
        <w:rPr>
          <w:lang w:val="en-US"/>
        </w:rPr>
        <w:lastRenderedPageBreak/>
        <w:t xml:space="preserve">The application of RFID technology involves costs due to the use of tags and sensors employed for identification and detection. Assuming that a tag is attached to each batch, this cost will be proportional to the number of batches formed and it is independent from p and </w:t>
      </w:r>
      <w:proofErr w:type="spellStart"/>
      <w:proofErr w:type="gramStart"/>
      <w:r w:rsidRPr="00922DF9">
        <w:rPr>
          <w:lang w:val="en-US"/>
        </w:rPr>
        <w:t>th</w:t>
      </w:r>
      <w:proofErr w:type="spellEnd"/>
      <w:proofErr w:type="gramEnd"/>
      <w:r w:rsidRPr="00922DF9">
        <w:rPr>
          <w:lang w:val="en-US"/>
        </w:rPr>
        <w:t>.</w:t>
      </w:r>
    </w:p>
    <w:p w:rsidR="00893FC7" w:rsidRPr="00922DF9" w:rsidRDefault="00893FC7" w:rsidP="00893FC7">
      <w:pPr>
        <w:pStyle w:val="ae"/>
        <w:rPr>
          <w:lang w:val="en-US"/>
        </w:rPr>
      </w:pPr>
      <w:r w:rsidRPr="00922DF9">
        <w:rPr>
          <w:lang w:val="en-US"/>
        </w:rPr>
        <w:t xml:space="preserve">The revenue resulting by products sold is proportional to the amount shipped. The revenue increases with the threshold. For p &lt; </w:t>
      </w:r>
      <w:proofErr w:type="spellStart"/>
      <w:proofErr w:type="gramStart"/>
      <w:r w:rsidRPr="00922DF9">
        <w:rPr>
          <w:lang w:val="en-US"/>
        </w:rPr>
        <w:t>th</w:t>
      </w:r>
      <w:proofErr w:type="spellEnd"/>
      <w:proofErr w:type="gramEnd"/>
      <w:r w:rsidRPr="00922DF9">
        <w:rPr>
          <w:lang w:val="en-US"/>
        </w:rPr>
        <w:t xml:space="preserve"> the revenue increases as the batch size increases, while for p &gt; </w:t>
      </w:r>
      <w:proofErr w:type="spellStart"/>
      <w:r w:rsidRPr="00922DF9">
        <w:rPr>
          <w:lang w:val="en-US"/>
        </w:rPr>
        <w:t>th</w:t>
      </w:r>
      <w:proofErr w:type="spellEnd"/>
      <w:r w:rsidRPr="00922DF9">
        <w:rPr>
          <w:lang w:val="en-US"/>
        </w:rPr>
        <w:t xml:space="preserve"> the revenue decreases as the batch size increases. Finally the total profit is always increasing with the batch size for p &gt; </w:t>
      </w:r>
      <w:proofErr w:type="spellStart"/>
      <w:proofErr w:type="gramStart"/>
      <w:r w:rsidRPr="00922DF9">
        <w:rPr>
          <w:lang w:val="en-US"/>
        </w:rPr>
        <w:t>th</w:t>
      </w:r>
      <w:proofErr w:type="spellEnd"/>
      <w:proofErr w:type="gramEnd"/>
      <w:r w:rsidRPr="00922DF9">
        <w:rPr>
          <w:lang w:val="en-US"/>
        </w:rPr>
        <w:t xml:space="preserve"> while for p &lt; </w:t>
      </w:r>
      <w:proofErr w:type="spellStart"/>
      <w:r w:rsidRPr="00922DF9">
        <w:rPr>
          <w:lang w:val="en-US"/>
        </w:rPr>
        <w:t>th</w:t>
      </w:r>
      <w:proofErr w:type="spellEnd"/>
      <w:r w:rsidRPr="00922DF9">
        <w:rPr>
          <w:lang w:val="en-US"/>
        </w:rPr>
        <w:t xml:space="preserve"> the profit function has a maximum which increases as p comes close to </w:t>
      </w:r>
      <w:proofErr w:type="spellStart"/>
      <w:r w:rsidRPr="00922DF9">
        <w:rPr>
          <w:lang w:val="en-US"/>
        </w:rPr>
        <w:t>th</w:t>
      </w:r>
      <w:proofErr w:type="spellEnd"/>
      <w:r w:rsidRPr="00922DF9">
        <w:rPr>
          <w:lang w:val="en-US"/>
        </w:rPr>
        <w:t>.</w:t>
      </w:r>
    </w:p>
    <w:p w:rsidR="00893FC7" w:rsidRPr="00922DF9" w:rsidRDefault="00893FC7" w:rsidP="00893FC7">
      <w:pPr>
        <w:pStyle w:val="ae"/>
        <w:rPr>
          <w:lang w:val="en-US"/>
        </w:rPr>
      </w:pPr>
      <w:r w:rsidRPr="00922DF9">
        <w:rPr>
          <w:lang w:val="en-US"/>
        </w:rPr>
        <w:t>In the following a mathematical approach will be discussed modelingtheflowanalyzedinFig.1andtheprofitachievablebythesupply chain in presence of such a system will be compared with the case in absence of the traceability system in order to show that an optimal granularity level can be found in relation to the specific context analyzed.</w:t>
      </w:r>
    </w:p>
    <w:p w:rsidR="00893FC7" w:rsidRPr="00922DF9" w:rsidRDefault="00893FC7" w:rsidP="00893FC7">
      <w:pPr>
        <w:pStyle w:val="ae"/>
        <w:rPr>
          <w:lang w:val="en-US"/>
        </w:rPr>
      </w:pPr>
      <w:r w:rsidRPr="00922DF9">
        <w:rPr>
          <w:lang w:val="en-US"/>
        </w:rPr>
        <w:t>The following notation is used:</w:t>
      </w:r>
    </w:p>
    <w:p w:rsidR="00893FC7" w:rsidRPr="00922DF9" w:rsidRDefault="00893FC7" w:rsidP="00893FC7">
      <w:pPr>
        <w:pStyle w:val="ae"/>
        <w:rPr>
          <w:lang w:val="en-US"/>
        </w:rPr>
      </w:pPr>
      <w:r w:rsidRPr="00922DF9">
        <w:rPr>
          <w:lang w:val="en-US"/>
        </w:rPr>
        <w:t>P: total product quantity,</w:t>
      </w:r>
    </w:p>
    <w:p w:rsidR="00893FC7" w:rsidRPr="00922DF9" w:rsidRDefault="00893FC7" w:rsidP="00893FC7">
      <w:pPr>
        <w:pStyle w:val="ae"/>
        <w:rPr>
          <w:lang w:val="en-US"/>
        </w:rPr>
      </w:pPr>
      <w:proofErr w:type="gramStart"/>
      <w:r w:rsidRPr="00922DF9">
        <w:rPr>
          <w:lang w:val="en-US"/>
        </w:rPr>
        <w:t>p</w:t>
      </w:r>
      <w:proofErr w:type="gramEnd"/>
      <w:r w:rsidRPr="00922DF9">
        <w:rPr>
          <w:lang w:val="en-US"/>
        </w:rPr>
        <w:t>: percentage of deteriorated units in the total production P, n: batch size,</w:t>
      </w:r>
    </w:p>
    <w:p w:rsidR="00893FC7" w:rsidRPr="00922DF9" w:rsidRDefault="00893FC7" w:rsidP="00893FC7">
      <w:pPr>
        <w:pStyle w:val="ae"/>
        <w:rPr>
          <w:lang w:val="en-US"/>
        </w:rPr>
      </w:pPr>
      <w:proofErr w:type="gramStart"/>
      <w:r w:rsidRPr="00922DF9">
        <w:rPr>
          <w:lang w:val="en-US"/>
        </w:rPr>
        <w:t>x</w:t>
      </w:r>
      <w:proofErr w:type="gramEnd"/>
      <w:r w:rsidRPr="00922DF9">
        <w:rPr>
          <w:lang w:val="en-US"/>
        </w:rPr>
        <w:t>: a random variable representing the number of non conforming</w:t>
      </w:r>
    </w:p>
    <w:p w:rsidR="00893FC7" w:rsidRPr="00922DF9" w:rsidRDefault="00893FC7" w:rsidP="00893FC7">
      <w:pPr>
        <w:pStyle w:val="ae"/>
        <w:rPr>
          <w:lang w:val="en-US"/>
        </w:rPr>
      </w:pPr>
      <w:proofErr w:type="gramStart"/>
      <w:r w:rsidRPr="00922DF9">
        <w:rPr>
          <w:lang w:val="en-US"/>
        </w:rPr>
        <w:t>items</w:t>
      </w:r>
      <w:proofErr w:type="gramEnd"/>
      <w:r w:rsidRPr="00922DF9">
        <w:rPr>
          <w:lang w:val="en-US"/>
        </w:rPr>
        <w:t xml:space="preserve"> in a batch whose dimension is n × p,</w:t>
      </w:r>
    </w:p>
    <w:p w:rsidR="00893FC7" w:rsidRPr="00922DF9" w:rsidRDefault="00893FC7" w:rsidP="00893FC7">
      <w:pPr>
        <w:pStyle w:val="ae"/>
        <w:rPr>
          <w:lang w:val="en-US"/>
        </w:rPr>
      </w:pPr>
      <w:proofErr w:type="spellStart"/>
      <w:proofErr w:type="gramStart"/>
      <w:r w:rsidRPr="00922DF9">
        <w:rPr>
          <w:lang w:val="en-US"/>
        </w:rPr>
        <w:t>ntag</w:t>
      </w:r>
      <w:proofErr w:type="spellEnd"/>
      <w:proofErr w:type="gramEnd"/>
      <w:r w:rsidRPr="00922DF9">
        <w:rPr>
          <w:lang w:val="en-US"/>
        </w:rPr>
        <w:t xml:space="preserve">: number of tags required, </w:t>
      </w:r>
      <w:proofErr w:type="spellStart"/>
      <w:r w:rsidRPr="00922DF9">
        <w:rPr>
          <w:lang w:val="en-US"/>
        </w:rPr>
        <w:t>th</w:t>
      </w:r>
      <w:proofErr w:type="spellEnd"/>
      <w:r w:rsidRPr="00922DF9">
        <w:rPr>
          <w:lang w:val="en-US"/>
        </w:rPr>
        <w:t>: threshold identifying the percentage of deteriorated units present in the batch which determine the withdrawal of the batch from the producer, i.e. the fixed probability of accepting/rejecting a batch,</w:t>
      </w:r>
    </w:p>
    <w:p w:rsidR="00893FC7" w:rsidRPr="00922DF9" w:rsidRDefault="00893FC7" w:rsidP="00893FC7">
      <w:pPr>
        <w:pStyle w:val="ae"/>
        <w:rPr>
          <w:lang w:val="en-US"/>
        </w:rPr>
      </w:pPr>
      <w:proofErr w:type="spellStart"/>
      <w:r w:rsidRPr="00922DF9">
        <w:rPr>
          <w:lang w:val="en-US"/>
        </w:rPr>
        <w:t>Cd</w:t>
      </w:r>
      <w:proofErr w:type="spellEnd"/>
      <w:r w:rsidRPr="00922DF9">
        <w:rPr>
          <w:lang w:val="en-US"/>
        </w:rPr>
        <w:t>: unit disposal cost,</w:t>
      </w:r>
    </w:p>
    <w:p w:rsidR="00893FC7" w:rsidRPr="00922DF9" w:rsidRDefault="00893FC7" w:rsidP="00893FC7">
      <w:pPr>
        <w:pStyle w:val="ae"/>
        <w:rPr>
          <w:lang w:val="en-US"/>
        </w:rPr>
      </w:pPr>
      <w:proofErr w:type="spellStart"/>
      <w:r w:rsidRPr="00922DF9">
        <w:rPr>
          <w:lang w:val="en-US"/>
        </w:rPr>
        <w:t>Ctr</w:t>
      </w:r>
      <w:proofErr w:type="spellEnd"/>
      <w:r w:rsidRPr="00922DF9">
        <w:rPr>
          <w:lang w:val="en-US"/>
        </w:rPr>
        <w:t xml:space="preserve">: unit transport cost, </w:t>
      </w:r>
      <w:proofErr w:type="spellStart"/>
      <w:r w:rsidRPr="00922DF9">
        <w:rPr>
          <w:lang w:val="en-US"/>
        </w:rPr>
        <w:t>Ctag</w:t>
      </w:r>
      <w:proofErr w:type="spellEnd"/>
      <w:r w:rsidRPr="00922DF9">
        <w:rPr>
          <w:lang w:val="en-US"/>
        </w:rPr>
        <w:t>: unit tag cost,</w:t>
      </w:r>
    </w:p>
    <w:p w:rsidR="00893FC7" w:rsidRPr="00922DF9" w:rsidRDefault="00893FC7" w:rsidP="00893FC7">
      <w:pPr>
        <w:pStyle w:val="ae"/>
        <w:rPr>
          <w:lang w:val="en-US"/>
        </w:rPr>
      </w:pPr>
      <w:proofErr w:type="spellStart"/>
      <w:r w:rsidRPr="00922DF9">
        <w:rPr>
          <w:lang w:val="en-US"/>
        </w:rPr>
        <w:t>Sv</w:t>
      </w:r>
      <w:proofErr w:type="spellEnd"/>
      <w:r w:rsidRPr="00922DF9">
        <w:rPr>
          <w:lang w:val="en-US"/>
        </w:rPr>
        <w:t>: unit salvage value,</w:t>
      </w:r>
    </w:p>
    <w:p w:rsidR="00893FC7" w:rsidRPr="00922DF9" w:rsidRDefault="00893FC7" w:rsidP="00893FC7">
      <w:pPr>
        <w:pStyle w:val="ae"/>
        <w:rPr>
          <w:lang w:val="en-US"/>
        </w:rPr>
      </w:pPr>
      <w:r w:rsidRPr="00922DF9">
        <w:rPr>
          <w:lang w:val="en-US"/>
        </w:rPr>
        <w:t>Pr: unit price,</w:t>
      </w:r>
    </w:p>
    <w:p w:rsidR="00893FC7" w:rsidRPr="00922DF9" w:rsidRDefault="00893FC7" w:rsidP="00893FC7">
      <w:pPr>
        <w:pStyle w:val="ae"/>
        <w:rPr>
          <w:lang w:val="en-US"/>
        </w:rPr>
      </w:pPr>
      <w:r w:rsidRPr="00922DF9">
        <w:rPr>
          <w:lang w:val="en-US"/>
        </w:rPr>
        <w:t xml:space="preserve">R: probability of rejecting a batch of size n when more than n × </w:t>
      </w:r>
      <w:proofErr w:type="spellStart"/>
      <w:proofErr w:type="gramStart"/>
      <w:r w:rsidRPr="00922DF9">
        <w:rPr>
          <w:lang w:val="en-US"/>
        </w:rPr>
        <w:t>th</w:t>
      </w:r>
      <w:proofErr w:type="spellEnd"/>
      <w:proofErr w:type="gramEnd"/>
      <w:r w:rsidRPr="00922DF9">
        <w:rPr>
          <w:lang w:val="en-US"/>
        </w:rPr>
        <w:t xml:space="preserve"> deteriorated units are present. R can be formalized as follows:</w:t>
      </w:r>
    </w:p>
    <w:p w:rsidR="007E33C3" w:rsidRPr="007E33C3" w:rsidRDefault="007E33C3" w:rsidP="007E33C3">
      <w:pPr>
        <w:rPr>
          <w:lang w:val="en-US"/>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97"/>
        <w:gridCol w:w="673"/>
      </w:tblGrid>
      <w:tr w:rsidR="00353DCF" w:rsidTr="007E33C3">
        <w:tc>
          <w:tcPr>
            <w:tcW w:w="8897" w:type="dxa"/>
          </w:tcPr>
          <w:p w:rsidR="00353DCF" w:rsidRPr="007E33C3" w:rsidRDefault="007E33C3" w:rsidP="007E33C3">
            <w:pPr>
              <w:pStyle w:val="a9"/>
              <w:rPr>
                <w:i/>
                <w:lang w:val="en-US"/>
              </w:rPr>
            </w:pPr>
            <m:oMathPara>
              <m:oMath>
                <m:r>
                  <w:rPr>
                    <w:rFonts w:ascii="Cambria Math" w:hAnsi="Cambria Math"/>
                    <w:szCs w:val="22"/>
                  </w:rPr>
                  <m:t>R</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&gt;</m:t>
                </m:r>
                <m:r>
                  <w:rPr>
                    <w:rFonts w:ascii="Cambria Math" w:hAnsi="Cambria Math"/>
                    <w:szCs w:val="22"/>
                  </w:rPr>
                  <m:t>th</m:t>
                </m:r>
                <m:r>
                  <m:rPr>
                    <m:sty m:val="p"/>
                  </m:rPr>
                  <w:rPr>
                    <w:rFonts w:ascii="Cambria Math" w:hAnsi="Cambria Math"/>
                    <w:szCs w:val="22"/>
                  </w:rPr>
                  <m:t>×</m:t>
                </m:r>
                <m:r>
                  <w:rPr>
                    <w:rFonts w:ascii="Cambria Math" w:hAnsi="Cambria Math"/>
                    <w:szCs w:val="22"/>
                  </w:rPr>
                  <m:t>n</m:t>
                </m:r>
                <m:r>
                  <m:rPr>
                    <m:sty m:val="p"/>
                  </m:rPr>
                  <w:rPr>
                    <w:rFonts w:ascii="Cambria Math" w:hAnsi="Cambria Math"/>
                    <w:szCs w:val="22"/>
                  </w:rPr>
                  <m:t>)=1-</m:t>
                </m:r>
                <m:r>
                  <w:rPr>
                    <w:rFonts w:ascii="Cambria Math" w:hAnsi="Cambria Math"/>
                    <w:szCs w:val="22"/>
                  </w:rPr>
                  <m:t>P</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oMath>
            </m:oMathPara>
          </w:p>
        </w:tc>
        <w:bookmarkStart w:id="4" w:name="_Ref214554740"/>
        <w:tc>
          <w:tcPr>
            <w:tcW w:w="673" w:type="dxa"/>
          </w:tcPr>
          <w:p w:rsidR="007E33C3" w:rsidRPr="007E33C3" w:rsidRDefault="007E33C3" w:rsidP="007E33C3">
            <w:pPr>
              <w:jc w:val="right"/>
              <w:rPr>
                <w:lang w:val="en-US"/>
              </w:rPr>
            </w:pPr>
            <w:r>
              <w:fldChar w:fldCharType="begin"/>
            </w:r>
            <w:r>
              <w:instrText xml:space="preserve"> SEQ Формула \* ARABIC </w:instrText>
            </w:r>
            <w:r>
              <w:fldChar w:fldCharType="separate"/>
            </w:r>
            <w:r>
              <w:rPr>
                <w:noProof/>
              </w:rPr>
              <w:t>2</w:t>
            </w:r>
            <w:r>
              <w:fldChar w:fldCharType="end"/>
            </w:r>
            <w:bookmarkEnd w:id="4"/>
            <w:r>
              <w:rPr>
                <w:lang w:val="en-US"/>
              </w:rPr>
              <w:t>(</w:t>
            </w:r>
            <w:fldSimple w:instr=" SEQ Формула \* ARABIC ">
              <w:bookmarkStart w:id="5" w:name="_Ref214554875"/>
              <w:r>
                <w:rPr>
                  <w:noProof/>
                </w:rPr>
                <w:t>1</w:t>
              </w:r>
              <w:bookmarkEnd w:id="5"/>
            </w:fldSimple>
            <w:r>
              <w:rPr>
                <w:lang w:val="en-US"/>
              </w:rPr>
              <w:t>)</w:t>
            </w:r>
          </w:p>
          <w:p w:rsidR="00353DCF" w:rsidRPr="007E33C3" w:rsidRDefault="00353DCF" w:rsidP="007E33C3">
            <w:pPr>
              <w:pStyle w:val="aff1"/>
              <w:keepNext/>
              <w:rPr>
                <w:lang w:val="en-US"/>
              </w:rPr>
            </w:pPr>
          </w:p>
        </w:tc>
      </w:tr>
    </w:tbl>
    <w:p w:rsidR="00893FC7" w:rsidRDefault="00893FC7" w:rsidP="00893FC7">
      <w:pPr>
        <w:pStyle w:val="ae"/>
        <w:rPr>
          <w:lang w:val="en-US"/>
        </w:rPr>
      </w:pPr>
    </w:p>
    <w:p w:rsidR="00893FC7" w:rsidRPr="00922DF9" w:rsidRDefault="00893FC7" w:rsidP="00893FC7">
      <w:pPr>
        <w:pStyle w:val="ae"/>
        <w:rPr>
          <w:lang w:val="en-US"/>
        </w:rPr>
      </w:pPr>
      <w:proofErr w:type="gramStart"/>
      <w:r w:rsidRPr="00922DF9">
        <w:rPr>
          <w:lang w:val="en-US"/>
        </w:rPr>
        <w:lastRenderedPageBreak/>
        <w:t>where</w:t>
      </w:r>
      <w:proofErr w:type="gramEnd"/>
      <w:r w:rsidRPr="00922DF9">
        <w:rPr>
          <w:lang w:val="en-US"/>
        </w:rPr>
        <w:t xml:space="preserve"> P(x) represents the probability of accepting a batch and depends from the probability distribution of deteriorated units in the batch.</w:t>
      </w:r>
    </w:p>
    <w:p w:rsidR="00893FC7" w:rsidRPr="00922DF9" w:rsidRDefault="00893FC7" w:rsidP="00893FC7">
      <w:pPr>
        <w:pStyle w:val="ae"/>
        <w:rPr>
          <w:lang w:val="en-US"/>
        </w:rPr>
      </w:pPr>
      <w:r w:rsidRPr="00922DF9">
        <w:rPr>
          <w:lang w:val="en-US"/>
        </w:rPr>
        <w:t xml:space="preserve">It is assumed that the entire batch which does not pass the test is not forwarded to the subsequent step of the supply chain and all the products inside are salvaged with a residual value representing the possibility of selling the product as a low quality product for different scopes (e.g. processed foods, etc.). It is a common practice in the food chain that partially deteriorated units are sold at alternative markets at discounted prices. Such an aspect has been tackled by several authors with reference to the optimal batch dimension (see for example </w:t>
      </w:r>
      <w:proofErr w:type="spellStart"/>
      <w:r w:rsidRPr="00922DF9">
        <w:rPr>
          <w:lang w:val="en-US"/>
        </w:rPr>
        <w:t>Mishra</w:t>
      </w:r>
      <w:proofErr w:type="spellEnd"/>
      <w:r w:rsidRPr="00922DF9">
        <w:rPr>
          <w:lang w:val="en-US"/>
        </w:rPr>
        <w:t xml:space="preserve"> &amp; Shah, 2008; </w:t>
      </w:r>
      <w:proofErr w:type="spellStart"/>
      <w:r w:rsidRPr="00922DF9">
        <w:rPr>
          <w:lang w:val="en-US"/>
        </w:rPr>
        <w:t>Venkateswarlu</w:t>
      </w:r>
      <w:proofErr w:type="spellEnd"/>
      <w:r w:rsidRPr="00922DF9">
        <w:rPr>
          <w:lang w:val="en-US"/>
        </w:rPr>
        <w:t xml:space="preserve"> &amp; Mohan, 2011, </w:t>
      </w:r>
      <w:proofErr w:type="spellStart"/>
      <w:r w:rsidRPr="00922DF9">
        <w:rPr>
          <w:lang w:val="en-US"/>
        </w:rPr>
        <w:t>Tripathy</w:t>
      </w:r>
      <w:proofErr w:type="spellEnd"/>
      <w:r w:rsidRPr="00922DF9">
        <w:rPr>
          <w:lang w:val="en-US"/>
        </w:rPr>
        <w:t xml:space="preserve"> &amp; </w:t>
      </w:r>
      <w:proofErr w:type="spellStart"/>
      <w:r w:rsidRPr="00922DF9">
        <w:rPr>
          <w:lang w:val="en-US"/>
        </w:rPr>
        <w:t>Pradhan</w:t>
      </w:r>
      <w:proofErr w:type="spellEnd"/>
      <w:r w:rsidRPr="00922DF9">
        <w:rPr>
          <w:lang w:val="en-US"/>
        </w:rPr>
        <w:t xml:space="preserve">, 2012, </w:t>
      </w:r>
      <w:proofErr w:type="spellStart"/>
      <w:r w:rsidRPr="00922DF9">
        <w:rPr>
          <w:lang w:val="en-US"/>
        </w:rPr>
        <w:t>Venkateswarlu</w:t>
      </w:r>
      <w:proofErr w:type="spellEnd"/>
      <w:r w:rsidRPr="00922DF9">
        <w:rPr>
          <w:lang w:val="en-US"/>
        </w:rPr>
        <w:t xml:space="preserve"> &amp; Mohan, 2013).</w:t>
      </w:r>
    </w:p>
    <w:p w:rsidR="00893FC7" w:rsidRPr="00922DF9" w:rsidRDefault="007E33C3" w:rsidP="00893FC7">
      <w:pPr>
        <w:pStyle w:val="ae"/>
        <w:rPr>
          <w:lang w:val="en-US"/>
        </w:rPr>
      </w:pPr>
      <w:r>
        <w:rPr>
          <w:lang w:val="en-US"/>
        </w:rPr>
        <w:t>From (</w:t>
      </w:r>
      <w:r w:rsidR="00893FC7" w:rsidRPr="00922DF9">
        <w:rPr>
          <w:lang w:val="en-US"/>
        </w:rPr>
        <w:t xml:space="preserve">) the expected number of products which do not pass the test for fixed </w:t>
      </w:r>
      <w:proofErr w:type="spellStart"/>
      <w:proofErr w:type="gramStart"/>
      <w:r w:rsidR="00893FC7" w:rsidRPr="00922DF9">
        <w:rPr>
          <w:lang w:val="en-US"/>
        </w:rPr>
        <w:t>th</w:t>
      </w:r>
      <w:proofErr w:type="spellEnd"/>
      <w:proofErr w:type="gramEnd"/>
      <w:r w:rsidR="00893FC7" w:rsidRPr="00922DF9">
        <w:rPr>
          <w:lang w:val="en-US"/>
        </w:rPr>
        <w:t xml:space="preserve"> and p can be determined:</w:t>
      </w:r>
    </w:p>
    <w:p w:rsidR="00893FC7" w:rsidRPr="00922DF9" w:rsidRDefault="00893FC7" w:rsidP="00893FC7">
      <w:pPr>
        <w:pStyle w:val="ae"/>
        <w:rPr>
          <w:lang w:val="en-US"/>
        </w:rPr>
      </w:pPr>
      <w:r w:rsidRPr="00922DF9">
        <w:rPr>
          <w:lang w:val="en-US"/>
        </w:rPr>
        <w:t xml:space="preserve">Expected number of rejected products </w:t>
      </w:r>
    </w:p>
    <w:p w:rsidR="00893FC7" w:rsidRPr="00073350" w:rsidRDefault="00893FC7" w:rsidP="00893FC7">
      <w:pPr>
        <w:pStyle w:val="a9"/>
      </w:pPr>
      <m:oMathPara>
        <m:oMath>
          <m:r>
            <w:rPr>
              <w:rFonts w:ascii="Cambria Math" w:hAnsi="Cambria Math" w:cs="Calibri"/>
              <w:lang w:val="en-US" w:eastAsia="en-US"/>
            </w:rPr>
            <m:t>R</m:t>
          </m:r>
          <m:r>
            <m:rPr>
              <m:sty m:val="p"/>
            </m:rPr>
            <w:rPr>
              <w:rFonts w:ascii="Cambria Math" w:hAnsi="Cambria Math"/>
              <w:lang w:val="en-US" w:eastAsia="en-US"/>
            </w:rPr>
            <m:t>×</m:t>
          </m:r>
          <m:r>
            <w:rPr>
              <w:rFonts w:ascii="Cambria Math" w:hAnsi="Cambria Math" w:cs="Calibri"/>
              <w:lang w:val="en-US" w:eastAsia="en-US"/>
            </w:rPr>
            <m:t>n</m:t>
          </m:r>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P</m:t>
              </m:r>
            </m:num>
            <m:den>
              <m:r>
                <w:rPr>
                  <w:rFonts w:ascii="Cambria Math" w:hAnsi="Cambria Math"/>
                  <w:lang w:val="en-US" w:eastAsia="en-US"/>
                </w:rPr>
                <m:t>n</m:t>
              </m:r>
            </m:den>
          </m:f>
          <m:r>
            <m:rPr>
              <m:sty m:val="p"/>
            </m:rPr>
            <w:rPr>
              <w:rFonts w:ascii="Cambria Math" w:hAnsi="Cambria Math"/>
              <w:lang w:val="en-US" w:eastAsia="en-US"/>
            </w:rPr>
            <m:t>=</m:t>
          </m:r>
          <m:r>
            <w:rPr>
              <w:rFonts w:ascii="Cambria Math" w:hAnsi="Cambria Math"/>
              <w:lang w:val="en-US" w:eastAsia="en-US"/>
            </w:rPr>
            <m:t>R</m:t>
          </m:r>
          <m:r>
            <m:rPr>
              <m:sty m:val="p"/>
            </m:rPr>
            <w:rPr>
              <w:rFonts w:ascii="Cambria Math" w:hAnsi="Cambria Math"/>
              <w:lang w:val="en-US" w:eastAsia="en-US"/>
            </w:rPr>
            <m:t>×</m:t>
          </m:r>
          <m:r>
            <w:rPr>
              <w:rFonts w:ascii="Cambria Math" w:hAnsi="Cambria Math"/>
              <w:lang w:val="en-US" w:eastAsia="en-US"/>
            </w:rPr>
            <m:t>P</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 xml:space="preserve">Consequently, the Expected Total Salvage value </w:t>
      </w:r>
      <w:proofErr w:type="spellStart"/>
      <w:r w:rsidRPr="00922DF9">
        <w:rPr>
          <w:lang w:val="en-US"/>
        </w:rPr>
        <w:t>TSTv</w:t>
      </w:r>
      <w:proofErr w:type="spellEnd"/>
      <w:r w:rsidRPr="00922DF9">
        <w:rPr>
          <w:lang w:val="en-US"/>
        </w:rPr>
        <w:t xml:space="preserve"> referred to all the products that do not pass the acceptance test can be calculated as:</w:t>
      </w:r>
    </w:p>
    <w:p w:rsidR="00893FC7" w:rsidRPr="00073350" w:rsidRDefault="00893FC7" w:rsidP="00893FC7">
      <w:pPr>
        <w:pStyle w:val="a9"/>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S</m:t>
              </m:r>
            </m:e>
            <m:sub>
              <m:r>
                <w:rPr>
                  <w:rFonts w:ascii="Cambria Math" w:hAnsi="Cambria Math"/>
                  <w:lang w:val="en-US" w:eastAsia="en-US"/>
                </w:rPr>
                <m:t>V</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S</m:t>
              </m:r>
            </m:e>
            <m:sub>
              <m:r>
                <w:rPr>
                  <w:rFonts w:ascii="Cambria Math" w:hAnsi="Cambria Math"/>
                  <w:lang w:val="en-US" w:eastAsia="en-US"/>
                </w:rPr>
                <m:t>V</m:t>
              </m:r>
            </m:sub>
          </m:sSub>
          <m:r>
            <m:rPr>
              <m:sty m:val="p"/>
            </m:rPr>
            <w:rPr>
              <w:rFonts w:ascii="Cambria Math" w:hAnsi="Cambria Math" w:cs="Cambria Math"/>
              <w:lang w:val="en-US" w:eastAsia="en-US"/>
            </w:rPr>
            <m:t>×</m:t>
          </m:r>
          <m:r>
            <w:rPr>
              <w:rFonts w:ascii="Cambria Math" w:hAnsi="Cambria Math"/>
              <w:lang w:val="en-US" w:eastAsia="en-US"/>
            </w:rPr>
            <m:t>R</m:t>
          </m:r>
          <m:r>
            <m:rPr>
              <m:sty m:val="p"/>
            </m:rPr>
            <w:rPr>
              <w:rFonts w:ascii="Cambria Math" w:hAnsi="Cambria Math" w:cs="Cambria Math"/>
              <w:lang w:val="en-US" w:eastAsia="en-US"/>
            </w:rPr>
            <m:t>×</m:t>
          </m:r>
          <m:r>
            <w:rPr>
              <w:rFonts w:ascii="Cambria Math" w:hAnsi="Cambria Math"/>
              <w:lang w:val="en-US" w:eastAsia="en-US"/>
            </w:rPr>
            <m:t>P</m:t>
          </m:r>
        </m:oMath>
      </m:oMathPara>
    </w:p>
    <w:p w:rsidR="00893FC7" w:rsidRPr="00893FC7" w:rsidRDefault="00893FC7" w:rsidP="00893FC7">
      <w:pPr>
        <w:pStyle w:val="ae"/>
        <w:rPr>
          <w:lang w:val="en-US"/>
        </w:rPr>
      </w:pPr>
      <w:r w:rsidRPr="00922DF9">
        <w:rPr>
          <w:lang w:val="en-US"/>
        </w:rPr>
        <w:t xml:space="preserve">The Expected value of the Total Transport cost </w:t>
      </w:r>
      <w:proofErr w:type="spellStart"/>
      <w:r w:rsidRPr="00922DF9">
        <w:rPr>
          <w:lang w:val="en-US"/>
        </w:rPr>
        <w:t>TCTtr</w:t>
      </w:r>
      <w:proofErr w:type="spellEnd"/>
      <w:r w:rsidRPr="00922DF9">
        <w:rPr>
          <w:lang w:val="en-US"/>
        </w:rPr>
        <w:t xml:space="preserve"> is:</w:t>
      </w:r>
    </w:p>
    <w:p w:rsidR="00893FC7" w:rsidRPr="00073350" w:rsidRDefault="00893FC7" w:rsidP="00893FC7">
      <w:pPr>
        <w:pStyle w:val="a9"/>
        <w:rPr>
          <w:lang w:val="en-US"/>
        </w:rPr>
      </w:pPr>
      <w:r>
        <w:rPr>
          <w:lang w:val="en-US"/>
        </w:rPr>
        <w:t xml:space="preserve"> </w:t>
      </w:r>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tr</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tr</m:t>
            </m:r>
          </m:sub>
        </m:sSub>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oMath>
    </w:p>
    <w:p w:rsidR="00893FC7" w:rsidRDefault="00893FC7" w:rsidP="00893FC7">
      <w:pPr>
        <w:pStyle w:val="ae"/>
        <w:rPr>
          <w:lang w:val="en-US"/>
        </w:rPr>
      </w:pPr>
    </w:p>
    <w:p w:rsidR="00893FC7" w:rsidRDefault="00893FC7" w:rsidP="00893FC7">
      <w:pPr>
        <w:pStyle w:val="ae"/>
        <w:rPr>
          <w:lang w:val="en-US"/>
        </w:rPr>
      </w:pPr>
      <w:r w:rsidRPr="00922DF9">
        <w:rPr>
          <w:lang w:val="en-US"/>
        </w:rPr>
        <w:t>From (</w:t>
      </w:r>
      <w:r w:rsidR="007E33C3">
        <w:rPr>
          <w:lang w:val="en-US"/>
        </w:rPr>
        <w:fldChar w:fldCharType="begin"/>
      </w:r>
      <w:r w:rsidR="007E33C3">
        <w:rPr>
          <w:lang w:val="en-US"/>
        </w:rPr>
        <w:instrText xml:space="preserve"> REF _Ref214554875 \h </w:instrText>
      </w:r>
      <w:r w:rsidR="007E33C3">
        <w:rPr>
          <w:lang w:val="en-US"/>
        </w:rPr>
      </w:r>
      <w:r w:rsidR="007E33C3">
        <w:rPr>
          <w:lang w:val="en-US"/>
        </w:rPr>
        <w:fldChar w:fldCharType="separate"/>
      </w:r>
      <w:r w:rsidR="007E33C3" w:rsidRPr="007E33C3">
        <w:rPr>
          <w:noProof/>
          <w:lang w:val="en-US"/>
        </w:rPr>
        <w:t>1</w:t>
      </w:r>
      <w:r w:rsidR="007E33C3">
        <w:rPr>
          <w:lang w:val="en-US"/>
        </w:rPr>
        <w:fldChar w:fldCharType="end"/>
      </w:r>
      <w:r w:rsidRPr="00922DF9">
        <w:rPr>
          <w:lang w:val="en-US"/>
        </w:rPr>
        <w:t xml:space="preserve">) we can determine the maximum number of deteriorated units d in the rejected batches, as the probability of having </w:t>
      </w:r>
      <w:proofErr w:type="spellStart"/>
      <w:proofErr w:type="gramStart"/>
      <w:r w:rsidRPr="00922DF9">
        <w:rPr>
          <w:lang w:val="en-US"/>
        </w:rPr>
        <w:t>th</w:t>
      </w:r>
      <w:proofErr w:type="spellEnd"/>
      <w:proofErr w:type="gramEnd"/>
      <w:r w:rsidRPr="00922DF9">
        <w:rPr>
          <w:lang w:val="en-US"/>
        </w:rPr>
        <w:t xml:space="preserve"> × n deteriorated units in the batch:</w:t>
      </w:r>
    </w:p>
    <w:p w:rsidR="00893FC7" w:rsidRPr="00073350" w:rsidRDefault="00893FC7" w:rsidP="00893FC7">
      <w:pPr>
        <w:pStyle w:val="a9"/>
      </w:pPr>
      <m:oMathPara>
        <m:oMath>
          <m:r>
            <w:rPr>
              <w:rFonts w:ascii="Cambria Math" w:hAnsi="Cambria Math"/>
              <w:lang w:val="en-US" w:eastAsia="en-US"/>
            </w:rPr>
            <m:t>d</m:t>
          </m:r>
          <m:r>
            <m:rPr>
              <m:sty m:val="p"/>
            </m:rPr>
            <w:rPr>
              <w:rFonts w:ascii="Cambria Math" w:hAnsi="Cambria Math"/>
              <w:lang w:val="en-US" w:eastAsia="en-US"/>
            </w:rPr>
            <m:t>=</m:t>
          </m:r>
          <m:sSup>
            <m:sSupPr>
              <m:ctrlPr>
                <w:rPr>
                  <w:rFonts w:ascii="Cambria Math" w:hAnsi="Cambria Math"/>
                  <w:lang w:val="en-US" w:eastAsia="en-US"/>
                </w:rPr>
              </m:ctrlPr>
            </m:sSupPr>
            <m:e>
              <m:r>
                <w:rPr>
                  <w:rFonts w:ascii="Cambria Math" w:hAnsi="Cambria Math"/>
                  <w:lang w:val="en-US" w:eastAsia="en-US"/>
                </w:rPr>
                <m:t>F</m:t>
              </m:r>
            </m:e>
            <m:sup>
              <m:r>
                <m:rPr>
                  <m:sty m:val="p"/>
                </m:rPr>
                <w:rPr>
                  <w:rFonts w:ascii="Cambria Math" w:hAnsi="Cambria Math"/>
                  <w:lang w:val="en-US" w:eastAsia="en-US"/>
                </w:rPr>
                <m:t>-1</m:t>
              </m:r>
            </m:sup>
          </m:sSup>
          <m:r>
            <m:rPr>
              <m:sty m:val="p"/>
            </m:rPr>
            <w:rPr>
              <w:rFonts w:ascii="Cambria Math" w:hAnsi="Cambria Math"/>
              <w:lang w:val="en-US" w:eastAsia="en-US"/>
            </w:rPr>
            <m:t>(</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th</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cs="Cambria Math"/>
              <w:lang w:val="en-US" w:eastAsia="en-US"/>
            </w:rPr>
            <m:t>σ</m:t>
          </m:r>
          <m:r>
            <m:rPr>
              <m:sty m:val="p"/>
            </m:rPr>
            <w:rPr>
              <w:rFonts w:ascii="Cambria Math" w:hAnsi="Cambria Math" w:cs="Cambria Math"/>
              <w:lang w:val="en-US" w:eastAsia="en-US"/>
            </w:rPr>
            <m:t>+</m:t>
          </m:r>
          <m:r>
            <w:rPr>
              <w:rFonts w:ascii="Cambria Math" w:hAnsi="Cambria Math" w:cs="Cambria Math"/>
              <w:lang w:val="en-US" w:eastAsia="en-US"/>
            </w:rPr>
            <m:t>μ</m:t>
          </m:r>
        </m:oMath>
      </m:oMathPara>
    </w:p>
    <w:p w:rsidR="00893FC7" w:rsidRPr="00922DF9" w:rsidRDefault="00893FC7" w:rsidP="00893FC7">
      <w:pPr>
        <w:pStyle w:val="ae"/>
        <w:rPr>
          <w:lang w:val="en-US"/>
        </w:rPr>
      </w:pPr>
    </w:p>
    <w:p w:rsidR="00893FC7" w:rsidRPr="00922DF9" w:rsidRDefault="00893FC7" w:rsidP="00893FC7">
      <w:pPr>
        <w:pStyle w:val="ae"/>
        <w:rPr>
          <w:lang w:val="en-US"/>
        </w:rPr>
      </w:pPr>
      <w:proofErr w:type="gramStart"/>
      <w:r w:rsidRPr="00922DF9">
        <w:rPr>
          <w:lang w:val="en-US"/>
        </w:rPr>
        <w:t>where</w:t>
      </w:r>
      <w:proofErr w:type="gramEnd"/>
      <w:r w:rsidRPr="00922DF9">
        <w:rPr>
          <w:lang w:val="en-US"/>
        </w:rPr>
        <w:t xml:space="preserve"> </w:t>
      </w:r>
      <w:r>
        <w:t>μ</w:t>
      </w:r>
      <w:r w:rsidRPr="00922DF9">
        <w:rPr>
          <w:lang w:val="en-US"/>
        </w:rPr>
        <w:t xml:space="preserve"> and </w:t>
      </w:r>
      <w:r>
        <w:t>σ</w:t>
      </w:r>
      <w:r w:rsidRPr="00922DF9">
        <w:rPr>
          <w:lang w:val="en-US"/>
        </w:rPr>
        <w:t xml:space="preserve"> represent the mean and the standard deviation of the deteriorated units in the batch, respectively, and F−1 the cumulative standard distribution.</w:t>
      </w:r>
    </w:p>
    <w:p w:rsidR="00893FC7" w:rsidRPr="00922DF9" w:rsidRDefault="00893FC7" w:rsidP="00893FC7">
      <w:pPr>
        <w:pStyle w:val="ae"/>
        <w:rPr>
          <w:lang w:val="en-US"/>
        </w:rPr>
      </w:pPr>
      <w:r w:rsidRPr="00922DF9">
        <w:rPr>
          <w:lang w:val="en-US"/>
        </w:rPr>
        <w:lastRenderedPageBreak/>
        <w:t xml:space="preserve">Summarizing the formulation just seen the acceptance test consists in fixing the probability of accepting/rejecting the batch identified by the threshold </w:t>
      </w:r>
      <w:proofErr w:type="spellStart"/>
      <w:proofErr w:type="gramStart"/>
      <w:r w:rsidRPr="00922DF9">
        <w:rPr>
          <w:lang w:val="en-US"/>
        </w:rPr>
        <w:t>th</w:t>
      </w:r>
      <w:proofErr w:type="spellEnd"/>
      <w:proofErr w:type="gramEnd"/>
      <w:r w:rsidRPr="00922DF9">
        <w:rPr>
          <w:lang w:val="en-US"/>
        </w:rPr>
        <w:t xml:space="preserve"> and determining the number of deteriorated units needed to reject the batch which depends from the unknown batch size.</w:t>
      </w:r>
    </w:p>
    <w:p w:rsidR="00893FC7" w:rsidRDefault="00893FC7" w:rsidP="00893FC7">
      <w:pPr>
        <w:pStyle w:val="ae"/>
        <w:rPr>
          <w:lang w:val="en-US"/>
        </w:rPr>
      </w:pPr>
      <w:r w:rsidRPr="00922DF9">
        <w:rPr>
          <w:lang w:val="en-US"/>
        </w:rPr>
        <w:t xml:space="preserve">Consequently the minimum number of non deteriorated </w:t>
      </w:r>
      <w:proofErr w:type="gramStart"/>
      <w:r w:rsidRPr="00922DF9">
        <w:rPr>
          <w:lang w:val="en-US"/>
        </w:rPr>
        <w:t>units</w:t>
      </w:r>
      <w:proofErr w:type="gramEnd"/>
      <w:r w:rsidRPr="00922DF9">
        <w:rPr>
          <w:lang w:val="en-US"/>
        </w:rPr>
        <w:t xml:space="preserve"> c in the rejected batches is:</w:t>
      </w:r>
    </w:p>
    <w:p w:rsidR="00893FC7" w:rsidRDefault="00893FC7" w:rsidP="00893FC7">
      <w:pPr>
        <w:pStyle w:val="a9"/>
      </w:pPr>
      <m:oMathPara>
        <m:oMath>
          <m:r>
            <w:rPr>
              <w:rFonts w:ascii="Cambria Math" w:hAnsi="Cambria Math"/>
              <w:lang w:val="en-US" w:eastAsia="en-US"/>
            </w:rPr>
            <m:t>c</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d</m:t>
          </m:r>
        </m:oMath>
      </m:oMathPara>
    </w:p>
    <w:p w:rsidR="00893FC7" w:rsidRPr="00922DF9" w:rsidRDefault="00893FC7" w:rsidP="00893FC7">
      <w:pPr>
        <w:pStyle w:val="ae"/>
        <w:rPr>
          <w:lang w:val="en-US"/>
        </w:rPr>
      </w:pPr>
    </w:p>
    <w:p w:rsidR="00893FC7" w:rsidRPr="00922DF9" w:rsidRDefault="00893FC7" w:rsidP="00893FC7">
      <w:pPr>
        <w:pStyle w:val="ae"/>
        <w:rPr>
          <w:lang w:val="en-US"/>
        </w:rPr>
      </w:pPr>
      <w:r w:rsidRPr="00922DF9">
        <w:rPr>
          <w:lang w:val="en-US"/>
        </w:rPr>
        <w:t xml:space="preserve">Conservatively we assume that c = n − </w:t>
      </w:r>
      <w:proofErr w:type="spellStart"/>
      <w:proofErr w:type="gramStart"/>
      <w:r w:rsidRPr="00922DF9">
        <w:rPr>
          <w:lang w:val="en-US"/>
        </w:rPr>
        <w:t>nc</w:t>
      </w:r>
      <w:proofErr w:type="spellEnd"/>
      <w:proofErr w:type="gramEnd"/>
      <w:r w:rsidRPr="00922DF9">
        <w:rPr>
          <w:lang w:val="en-US"/>
        </w:rPr>
        <w:t>, considering that the actual number of non deteriorated products discarded will not be lower than c.</w:t>
      </w:r>
    </w:p>
    <w:p w:rsidR="00893FC7" w:rsidRPr="00922DF9" w:rsidRDefault="00893FC7" w:rsidP="00893FC7">
      <w:pPr>
        <w:pStyle w:val="ae"/>
        <w:rPr>
          <w:lang w:val="en-US"/>
        </w:rPr>
      </w:pPr>
      <w:r w:rsidRPr="00922DF9">
        <w:rPr>
          <w:lang w:val="en-US"/>
        </w:rPr>
        <w:t>The expected number of products that reach the destination is:</w:t>
      </w:r>
    </w:p>
    <w:p w:rsidR="00893FC7" w:rsidRDefault="00893FC7" w:rsidP="00893FC7">
      <w:pPr>
        <w:pStyle w:val="a9"/>
      </w:pPr>
      <m:oMathPara>
        <m:oMath>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The expected number of good products that reach the destination is:</w:t>
      </w:r>
    </w:p>
    <w:p w:rsidR="00893FC7" w:rsidRDefault="00893FC7" w:rsidP="00893FC7">
      <w:pPr>
        <w:pStyle w:val="a9"/>
      </w:pPr>
      <m:oMathPara>
        <m:oMath>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p w:rsidR="00893FC7" w:rsidRPr="00922DF9" w:rsidRDefault="00893FC7" w:rsidP="00893FC7">
      <w:pPr>
        <w:pStyle w:val="ae"/>
        <w:rPr>
          <w:lang w:val="en-US"/>
        </w:rPr>
      </w:pPr>
    </w:p>
    <w:p w:rsidR="00893FC7" w:rsidRPr="00922DF9" w:rsidRDefault="00893FC7" w:rsidP="00893FC7">
      <w:pPr>
        <w:pStyle w:val="ae"/>
        <w:rPr>
          <w:lang w:val="en-US"/>
        </w:rPr>
      </w:pPr>
      <w:r w:rsidRPr="00922DF9">
        <w:rPr>
          <w:lang w:val="en-US"/>
        </w:rPr>
        <w:t>The expected number of bad products that reach the destination is:</w:t>
      </w:r>
    </w:p>
    <w:p w:rsidR="00893FC7" w:rsidRDefault="00893FC7" w:rsidP="00893FC7">
      <w:pPr>
        <w:pStyle w:val="a9"/>
      </w:pPr>
      <m:oMathPara>
        <m:oMath>
          <m:r>
            <w:rPr>
              <w:rFonts w:ascii="Cambria Math" w:hAnsi="Cambria Math"/>
              <w:lang w:val="en-US" w:eastAsia="en-US"/>
            </w:rPr>
            <m:t>p</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 xml:space="preserve">The Expected value of the Total Disposal cost </w:t>
      </w:r>
      <w:proofErr w:type="spellStart"/>
      <w:r w:rsidRPr="00922DF9">
        <w:rPr>
          <w:lang w:val="en-US"/>
        </w:rPr>
        <w:t>TCTd</w:t>
      </w:r>
      <w:proofErr w:type="spellEnd"/>
      <w:r w:rsidRPr="00922DF9">
        <w:rPr>
          <w:lang w:val="en-US"/>
        </w:rPr>
        <w:t xml:space="preserve"> is referred to all the deteriorated products that reach the final destination, which is the entire number of deteriorated in the population (P × p) minus the number of deteriorated units which are preventively removed from the supply chain in the batches that do not pass the acceptance test (sold at a salvage value rather </w:t>
      </w:r>
      <w:proofErr w:type="gramStart"/>
      <w:r w:rsidRPr="00922DF9">
        <w:rPr>
          <w:lang w:val="en-US"/>
        </w:rPr>
        <w:t>than</w:t>
      </w:r>
      <w:proofErr w:type="gramEnd"/>
      <w:r w:rsidRPr="00922DF9">
        <w:rPr>
          <w:lang w:val="en-US"/>
        </w:rPr>
        <w:t xml:space="preserve"> at the disposal cost):</w:t>
      </w:r>
    </w:p>
    <w:p w:rsidR="00893FC7" w:rsidRDefault="00893FC7" w:rsidP="00893FC7">
      <w:pPr>
        <w:pStyle w:val="a9"/>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d</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d</m:t>
              </m:r>
            </m:sub>
          </m:sSub>
          <m:r>
            <m:rPr>
              <m:sty m:val="p"/>
            </m:rPr>
            <w:rPr>
              <w:rFonts w:ascii="Cambria Math" w:hAnsi="Cambria Math" w:cs="Cambria Math"/>
              <w:lang w:val="en-US" w:eastAsia="en-US"/>
            </w:rPr>
            <m:t>×</m:t>
          </m:r>
          <m:r>
            <m:rPr>
              <m:sty m:val="p"/>
            </m:rPr>
            <w:rPr>
              <w:rFonts w:ascii="Cambria Math" w:hAnsi="Cambria Math"/>
              <w:lang w:val="en-US" w:eastAsia="en-US"/>
            </w:rPr>
            <m:t>(</m:t>
          </m:r>
          <m:r>
            <w:rPr>
              <w:rFonts w:ascii="Cambria Math" w:hAnsi="Cambria Math"/>
              <w:lang w:val="en-US" w:eastAsia="en-US"/>
            </w:rPr>
            <m:t>P</m:t>
          </m:r>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d</m:t>
          </m:r>
          <m:r>
            <m:rPr>
              <m:sty m:val="p"/>
            </m:rPr>
            <w:rPr>
              <w:rFonts w:ascii="Cambria Math" w:hAnsi="Cambria Math" w:cs="Cambria Math"/>
              <w:lang w:val="en-US" w:eastAsia="en-US"/>
            </w:rPr>
            <m:t>×</m:t>
          </m:r>
          <m:f>
            <m:fPr>
              <m:ctrlPr>
                <w:rPr>
                  <w:rFonts w:ascii="Cambria Math" w:hAnsi="Cambria Math" w:cs="Cambria Math"/>
                  <w:lang w:val="en-US" w:eastAsia="en-US"/>
                </w:rPr>
              </m:ctrlPr>
            </m:fPr>
            <m:num>
              <m:r>
                <w:rPr>
                  <w:rFonts w:ascii="Cambria Math" w:hAnsi="Cambria Math" w:cs="Cambria Math"/>
                  <w:lang w:val="en-US" w:eastAsia="en-US"/>
                </w:rPr>
                <m:t>P</m:t>
              </m:r>
            </m:num>
            <m:den>
              <m:r>
                <w:rPr>
                  <w:rFonts w:ascii="Cambria Math" w:hAnsi="Cambria Math" w:cs="Cambria Math"/>
                  <w:lang w:val="en-US" w:eastAsia="en-US"/>
                </w:rPr>
                <m:t>n</m:t>
              </m:r>
            </m:den>
          </m:f>
          <m:r>
            <m:rPr>
              <m:sty m:val="p"/>
            </m:rPr>
            <w:rPr>
              <w:rFonts w:ascii="Cambria Math" w:hAnsi="Cambria Math" w:cs="Cambria Math"/>
              <w:lang w:val="en-US" w:eastAsia="en-US"/>
            </w:rPr>
            <m:t>×</m:t>
          </m:r>
          <m:r>
            <w:rPr>
              <w:rFonts w:ascii="Cambria Math" w:hAnsi="Cambria Math" w:cs="Cambria Math"/>
              <w:lang w:val="en-US" w:eastAsia="en-US"/>
            </w:rPr>
            <m:t>R</m:t>
          </m:r>
          <m:r>
            <m:rPr>
              <m:sty m:val="p"/>
            </m:rPr>
            <w:rPr>
              <w:rFonts w:ascii="Cambria Math" w:hAnsi="Cambria Math" w:cs="Cambria Math"/>
              <w:lang w:val="en-US" w:eastAsia="en-US"/>
            </w:rPr>
            <m:t>)</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lastRenderedPageBreak/>
        <w:t>Considering that all deteriorated units and all non deteriorated products present in the batches rejected will be disposed (either at the producer or at the retailer).</w:t>
      </w:r>
    </w:p>
    <w:p w:rsidR="00893FC7" w:rsidRPr="00922DF9" w:rsidRDefault="00893FC7" w:rsidP="00893FC7">
      <w:pPr>
        <w:pStyle w:val="ae"/>
        <w:rPr>
          <w:lang w:val="en-US"/>
        </w:rPr>
      </w:pPr>
      <w:r w:rsidRPr="00922DF9">
        <w:rPr>
          <w:lang w:val="en-US"/>
        </w:rPr>
        <w:t>The Expected value of the Total device cost TCTI is:</w:t>
      </w:r>
    </w:p>
    <w:p w:rsidR="00893FC7" w:rsidRDefault="00893FC7" w:rsidP="00893FC7">
      <w:pPr>
        <w:pStyle w:val="a9"/>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rPr>
                <m:t>Ι</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tag</m:t>
              </m:r>
            </m:sub>
          </m:sSub>
          <m:r>
            <m:rPr>
              <m:sty m:val="p"/>
            </m:rPr>
            <w:rPr>
              <w:rFonts w:ascii="Cambria Math" w:hAnsi="Cambria Math" w:cs="Cambria Math"/>
              <w:lang w:val="en-US" w:eastAsia="en-US"/>
            </w:rPr>
            <m:t>×</m:t>
          </m:r>
          <m:f>
            <m:fPr>
              <m:ctrlPr>
                <w:rPr>
                  <w:rFonts w:ascii="Cambria Math" w:hAnsi="Cambria Math" w:cs="Cambria Math"/>
                  <w:lang w:val="en-US" w:eastAsia="en-US"/>
                </w:rPr>
              </m:ctrlPr>
            </m:fPr>
            <m:num>
              <m:r>
                <w:rPr>
                  <w:rFonts w:ascii="Cambria Math" w:hAnsi="Cambria Math" w:cs="Cambria Math"/>
                  <w:lang w:val="en-US" w:eastAsia="en-US"/>
                </w:rPr>
                <m:t>P</m:t>
              </m:r>
            </m:num>
            <m:den>
              <m:r>
                <w:rPr>
                  <w:rFonts w:ascii="Cambria Math" w:hAnsi="Cambria Math" w:cs="Cambria Math"/>
                  <w:lang w:val="en-US" w:eastAsia="en-US"/>
                </w:rPr>
                <m:t>n</m:t>
              </m:r>
            </m:den>
          </m:f>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Thus</w:t>
      </w:r>
      <w:r w:rsidR="0068698A">
        <w:rPr>
          <w:lang w:val="en-US"/>
        </w:rPr>
        <w:t xml:space="preserve"> </w:t>
      </w:r>
      <w:r w:rsidRPr="00922DF9">
        <w:rPr>
          <w:lang w:val="en-US"/>
        </w:rPr>
        <w:t>the</w:t>
      </w:r>
      <w:r w:rsidR="0068698A">
        <w:rPr>
          <w:lang w:val="en-US"/>
        </w:rPr>
        <w:t xml:space="preserve"> </w:t>
      </w:r>
      <w:r w:rsidRPr="00922DF9">
        <w:rPr>
          <w:lang w:val="en-US"/>
        </w:rPr>
        <w:t>Expected</w:t>
      </w:r>
      <w:r w:rsidR="0068698A">
        <w:rPr>
          <w:lang w:val="en-US"/>
        </w:rPr>
        <w:t xml:space="preserve"> </w:t>
      </w:r>
      <w:r w:rsidRPr="00922DF9">
        <w:rPr>
          <w:lang w:val="en-US"/>
        </w:rPr>
        <w:t>value</w:t>
      </w:r>
      <w:r w:rsidR="0068698A">
        <w:rPr>
          <w:lang w:val="en-US"/>
        </w:rPr>
        <w:t xml:space="preserve"> </w:t>
      </w:r>
      <w:r w:rsidRPr="00922DF9">
        <w:rPr>
          <w:lang w:val="en-US"/>
        </w:rPr>
        <w:t>of</w:t>
      </w:r>
      <w:r w:rsidR="0068698A">
        <w:rPr>
          <w:lang w:val="en-US"/>
        </w:rPr>
        <w:t xml:space="preserve"> </w:t>
      </w:r>
      <w:r w:rsidRPr="00922DF9">
        <w:rPr>
          <w:lang w:val="en-US"/>
        </w:rPr>
        <w:t>the</w:t>
      </w:r>
      <w:r w:rsidR="0068698A">
        <w:rPr>
          <w:lang w:val="en-US"/>
        </w:rPr>
        <w:t xml:space="preserve"> </w:t>
      </w:r>
      <w:r w:rsidRPr="00922DF9">
        <w:rPr>
          <w:lang w:val="en-US"/>
        </w:rPr>
        <w:t>Total</w:t>
      </w:r>
      <w:r w:rsidR="0068698A">
        <w:rPr>
          <w:lang w:val="en-US"/>
        </w:rPr>
        <w:t xml:space="preserve"> </w:t>
      </w:r>
      <w:r w:rsidRPr="00922DF9">
        <w:rPr>
          <w:lang w:val="en-US"/>
        </w:rPr>
        <w:t>Cost</w:t>
      </w:r>
      <w:r w:rsidR="0068698A">
        <w:rPr>
          <w:lang w:val="en-US"/>
        </w:rPr>
        <w:t xml:space="preserve"> </w:t>
      </w:r>
      <w:r w:rsidRPr="00922DF9">
        <w:rPr>
          <w:lang w:val="en-US"/>
        </w:rPr>
        <w:t>in</w:t>
      </w:r>
      <w:r w:rsidR="0068698A">
        <w:rPr>
          <w:lang w:val="en-US"/>
        </w:rPr>
        <w:t xml:space="preserve"> </w:t>
      </w:r>
      <w:r w:rsidRPr="00922DF9">
        <w:rPr>
          <w:lang w:val="en-US"/>
        </w:rPr>
        <w:t>presence</w:t>
      </w:r>
      <w:r w:rsidR="0068698A">
        <w:rPr>
          <w:lang w:val="en-US"/>
        </w:rPr>
        <w:t xml:space="preserve"> </w:t>
      </w:r>
      <w:r w:rsidRPr="00922DF9">
        <w:rPr>
          <w:lang w:val="en-US"/>
        </w:rPr>
        <w:t>of</w:t>
      </w:r>
      <w:r w:rsidR="0068698A">
        <w:rPr>
          <w:lang w:val="en-US"/>
        </w:rPr>
        <w:t xml:space="preserve"> </w:t>
      </w:r>
      <w:r w:rsidRPr="00922DF9">
        <w:rPr>
          <w:lang w:val="en-US"/>
        </w:rPr>
        <w:t>traceability TCT is:</w:t>
      </w:r>
    </w:p>
    <w:p w:rsidR="00893FC7" w:rsidRDefault="00893FC7" w:rsidP="00893FC7">
      <w:pPr>
        <w:pStyle w:val="a9"/>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p>
            <m:sSupPr>
              <m:ctrlPr>
                <w:rPr>
                  <w:rFonts w:ascii="Cambria Math" w:hAnsi="Cambria Math"/>
                  <w:lang w:val="en-US" w:eastAsia="en-US"/>
                </w:rPr>
              </m:ctrlPr>
            </m:sSupPr>
            <m:e>
              <m:r>
                <w:rPr>
                  <w:rFonts w:ascii="Cambria Math" w:hAnsi="Cambria Math"/>
                  <w:lang w:val="en-US" w:eastAsia="en-US"/>
                </w:rPr>
                <m:t>C</m:t>
              </m:r>
            </m:e>
            <m:sup>
              <m:r>
                <w:rPr>
                  <w:rFonts w:ascii="Cambria Math" w:hAnsi="Cambria Math"/>
                  <w:lang w:val="en-US" w:eastAsia="en-US"/>
                </w:rPr>
                <m:t>T</m:t>
              </m:r>
            </m:sup>
          </m:s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tr</m:t>
              </m:r>
            </m:sub>
            <m:sup>
              <m:r>
                <w:rPr>
                  <w:rFonts w:ascii="Cambria Math" w:hAnsi="Cambria Math"/>
                  <w:lang w:val="en-US" w:eastAsia="en-US"/>
                </w:rPr>
                <m:t>T</m:t>
              </m:r>
            </m:sup>
          </m:sSub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d</m:t>
              </m:r>
            </m:sub>
            <m:sup>
              <m:r>
                <w:rPr>
                  <w:rFonts w:ascii="Cambria Math" w:hAnsi="Cambria Math"/>
                  <w:lang w:val="en-US" w:eastAsia="en-US"/>
                </w:rPr>
                <m:t>T</m:t>
              </m:r>
            </m:sup>
          </m:sSub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rPr>
                <m:t>Ι</m:t>
              </m:r>
            </m:sub>
            <m:sup>
              <m:r>
                <w:rPr>
                  <w:rFonts w:ascii="Cambria Math" w:hAnsi="Cambria Math"/>
                  <w:lang w:val="en-US" w:eastAsia="en-US"/>
                </w:rPr>
                <m:t>T</m:t>
              </m:r>
            </m:sup>
          </m:sSubSup>
          <m:r>
            <m:rPr>
              <m:sty m:val="p"/>
            </m:rPr>
            <w:rPr>
              <w:rFonts w:ascii="Cambria Math" w:hAnsi="Cambria Math"/>
              <w:lang w:val="en-US" w:eastAsia="en-US"/>
            </w:rPr>
            <m:t>)</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 xml:space="preserve">Considering that deteriorated units are inadequate for the sale, the number of products unsold is the sum of all deteriorated units plus the non deteriorated products inside the rejected batches. The Expected value of the Total Revenue in presence of traceability </w:t>
      </w:r>
      <w:proofErr w:type="gramStart"/>
      <w:r w:rsidRPr="00922DF9">
        <w:rPr>
          <w:lang w:val="en-US"/>
        </w:rPr>
        <w:t>TRT,</w:t>
      </w:r>
      <w:proofErr w:type="gramEnd"/>
      <w:r w:rsidRPr="00922DF9">
        <w:rPr>
          <w:lang w:val="en-US"/>
        </w:rPr>
        <w:t xml:space="preserve"> is therefore:</w:t>
      </w:r>
    </w:p>
    <w:p w:rsidR="00893FC7" w:rsidRPr="00922DF9" w:rsidRDefault="00893FC7" w:rsidP="00893FC7">
      <w:pPr>
        <w:pStyle w:val="ae"/>
        <w:rPr>
          <w:lang w:val="en-US"/>
        </w:rPr>
      </w:pPr>
      <w:r w:rsidRPr="00922DF9">
        <w:rPr>
          <w:lang w:val="en-US"/>
        </w:rPr>
        <w:t>Both in the cases of traceability and no traceability system adopted the objective function is to maximize the Total Profit by considering that in the case of traceability such quantity can be dependent from n, and an optimal “traceability” size can be determined consequently. Since:</w:t>
      </w:r>
    </w:p>
    <w:p w:rsidR="00893FC7" w:rsidRDefault="00073350" w:rsidP="00073350">
      <w:pPr>
        <w:pStyle w:val="af0"/>
        <w:rPr>
          <w:lang w:val="en-US"/>
        </w:rPr>
      </w:pPr>
      <w:r>
        <w:rPr>
          <w:noProof/>
        </w:rPr>
        <w:lastRenderedPageBreak/>
        <w:drawing>
          <wp:inline distT="0" distB="0" distL="0" distR="0">
            <wp:extent cx="5939790" cy="3656143"/>
            <wp:effectExtent l="19050" t="0" r="381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39790" cy="3656143"/>
                    </a:xfrm>
                    <a:prstGeom prst="rect">
                      <a:avLst/>
                    </a:prstGeom>
                    <a:noFill/>
                    <a:ln w="9525">
                      <a:noFill/>
                      <a:miter lim="800000"/>
                      <a:headEnd/>
                      <a:tailEnd/>
                    </a:ln>
                  </pic:spPr>
                </pic:pic>
              </a:graphicData>
            </a:graphic>
          </wp:inline>
        </w:drawing>
      </w:r>
    </w:p>
    <w:p w:rsidR="00073350" w:rsidRPr="00922DF9" w:rsidRDefault="00073350" w:rsidP="00073350">
      <w:pPr>
        <w:pStyle w:val="af0"/>
        <w:rPr>
          <w:lang w:val="en-US"/>
        </w:rPr>
      </w:pPr>
      <w:proofErr w:type="gramStart"/>
      <w:r>
        <w:rPr>
          <w:lang w:val="en-US"/>
        </w:rPr>
        <w:t>Figure.</w:t>
      </w:r>
      <w:proofErr w:type="gramEnd"/>
      <w:r>
        <w:rPr>
          <w:lang w:val="en-US"/>
        </w:rPr>
        <w:t xml:space="preserve"> 2.</w:t>
      </w:r>
      <w:r w:rsidR="00794728">
        <w:rPr>
          <w:lang w:val="en-US"/>
        </w:rPr>
        <w:t xml:space="preserve"> Test 1.</w:t>
      </w:r>
    </w:p>
    <w:p w:rsidR="00893FC7" w:rsidRPr="00922DF9" w:rsidRDefault="00893FC7" w:rsidP="00893FC7">
      <w:pPr>
        <w:pStyle w:val="ae"/>
        <w:rPr>
          <w:lang w:val="en-US"/>
        </w:rPr>
      </w:pPr>
      <w:proofErr w:type="gramStart"/>
      <w:r w:rsidRPr="00922DF9">
        <w:rPr>
          <w:lang w:val="en-US"/>
        </w:rPr>
        <w:t>the</w:t>
      </w:r>
      <w:proofErr w:type="gramEnd"/>
      <w:r w:rsidRPr="00922DF9">
        <w:rPr>
          <w:lang w:val="en-US"/>
        </w:rPr>
        <w:t xml:space="preserve"> optimization to respect to n also allows to determine the optimal </w:t>
      </w:r>
      <w:proofErr w:type="spellStart"/>
      <w:r w:rsidRPr="00922DF9">
        <w:rPr>
          <w:lang w:val="en-US"/>
        </w:rPr>
        <w:t>ntag</w:t>
      </w:r>
      <w:proofErr w:type="spellEnd"/>
      <w:r w:rsidRPr="00922DF9">
        <w:rPr>
          <w:lang w:val="en-US"/>
        </w:rPr>
        <w:t xml:space="preserve"> to be attached to the batches.</w:t>
      </w:r>
    </w:p>
    <w:p w:rsidR="00893FC7" w:rsidRDefault="00893FC7" w:rsidP="00893FC7">
      <w:pPr>
        <w:pStyle w:val="ae"/>
        <w:rPr>
          <w:lang w:val="en-US"/>
        </w:rPr>
      </w:pPr>
      <w:r w:rsidRPr="00922DF9">
        <w:rPr>
          <w:lang w:val="en-US"/>
        </w:rPr>
        <w:t xml:space="preserve">In the next section a numerical application of the approach here illustrated is proposed. At first the analytical conditions ensuring the effectiveness of the traceability system with respect to the case in absence of traceability is considered in the case in which p = </w:t>
      </w:r>
      <w:proofErr w:type="spellStart"/>
      <w:r w:rsidRPr="00922DF9">
        <w:rPr>
          <w:lang w:val="en-US"/>
        </w:rPr>
        <w:t>th</w:t>
      </w:r>
      <w:proofErr w:type="spellEnd"/>
      <w:r w:rsidRPr="00922DF9">
        <w:rPr>
          <w:lang w:val="en-US"/>
        </w:rPr>
        <w:t xml:space="preserve"> and the device cost </w:t>
      </w:r>
      <w:proofErr w:type="spellStart"/>
      <w:r w:rsidRPr="00922DF9">
        <w:rPr>
          <w:lang w:val="en-US"/>
        </w:rPr>
        <w:t>Ctag</w:t>
      </w:r>
      <w:proofErr w:type="spellEnd"/>
      <w:r w:rsidRPr="00922DF9">
        <w:rPr>
          <w:lang w:val="en-US"/>
        </w:rPr>
        <w:t xml:space="preserve"> is null.</w:t>
      </w:r>
    </w:p>
    <w:p w:rsidR="00794728" w:rsidRDefault="00794728" w:rsidP="00794728">
      <w:pPr>
        <w:pStyle w:val="af0"/>
        <w:rPr>
          <w:lang w:val="en-US"/>
        </w:rPr>
      </w:pPr>
      <w:r>
        <w:rPr>
          <w:noProof/>
        </w:rPr>
        <w:lastRenderedPageBreak/>
        <w:drawing>
          <wp:inline distT="0" distB="0" distL="0" distR="0">
            <wp:extent cx="5939790" cy="3521125"/>
            <wp:effectExtent l="19050" t="0" r="381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939790" cy="3521125"/>
                    </a:xfrm>
                    <a:prstGeom prst="rect">
                      <a:avLst/>
                    </a:prstGeom>
                    <a:noFill/>
                    <a:ln w="9525">
                      <a:noFill/>
                      <a:miter lim="800000"/>
                      <a:headEnd/>
                      <a:tailEnd/>
                    </a:ln>
                  </pic:spPr>
                </pic:pic>
              </a:graphicData>
            </a:graphic>
          </wp:inline>
        </w:drawing>
      </w:r>
    </w:p>
    <w:p w:rsidR="00794728" w:rsidRPr="00922DF9" w:rsidRDefault="00794728" w:rsidP="00794728">
      <w:pPr>
        <w:pStyle w:val="af0"/>
        <w:rPr>
          <w:lang w:val="en-US"/>
        </w:rPr>
      </w:pPr>
      <w:proofErr w:type="gramStart"/>
      <w:r>
        <w:rPr>
          <w:lang w:val="en-US"/>
        </w:rPr>
        <w:t>Figure.</w:t>
      </w:r>
      <w:proofErr w:type="gramEnd"/>
      <w:r>
        <w:rPr>
          <w:lang w:val="en-US"/>
        </w:rPr>
        <w:t xml:space="preserve"> 3. Test 2.</w:t>
      </w:r>
    </w:p>
    <w:p w:rsidR="00893FC7" w:rsidRPr="00922DF9" w:rsidRDefault="00893FC7" w:rsidP="00893FC7">
      <w:pPr>
        <w:pStyle w:val="ae"/>
        <w:rPr>
          <w:lang w:val="en-US"/>
        </w:rPr>
      </w:pPr>
      <w:r w:rsidRPr="00922DF9">
        <w:rPr>
          <w:lang w:val="en-US"/>
        </w:rPr>
        <w:t xml:space="preserve">Thus the general case is considered with </w:t>
      </w:r>
      <w:proofErr w:type="gramStart"/>
      <w:r w:rsidRPr="00922DF9">
        <w:rPr>
          <w:lang w:val="en-US"/>
        </w:rPr>
        <w:t xml:space="preserve">p  </w:t>
      </w:r>
      <w:proofErr w:type="spellStart"/>
      <w:r w:rsidRPr="00922DF9">
        <w:rPr>
          <w:lang w:val="en-US"/>
        </w:rPr>
        <w:t>th</w:t>
      </w:r>
      <w:proofErr w:type="spellEnd"/>
      <w:proofErr w:type="gramEnd"/>
      <w:r w:rsidRPr="00922DF9">
        <w:rPr>
          <w:lang w:val="en-US"/>
        </w:rPr>
        <w:t xml:space="preserve"> and </w:t>
      </w:r>
      <w:proofErr w:type="spellStart"/>
      <w:r w:rsidRPr="00922DF9">
        <w:rPr>
          <w:lang w:val="en-US"/>
        </w:rPr>
        <w:t>Ctag</w:t>
      </w:r>
      <w:proofErr w:type="spellEnd"/>
      <w:r w:rsidRPr="00922DF9">
        <w:rPr>
          <w:lang w:val="en-US"/>
        </w:rPr>
        <w:t xml:space="preserve">  0. Since in this case a closed form of the expression (13) is difficult to find dependently on the probability distribution of non-conforming units, a graphical solution is proposed showing the conditions ensuring the presence of an optimal profit in the case in which the traceability system is enforced.</w:t>
      </w:r>
    </w:p>
    <w:p w:rsidR="00893FC7" w:rsidRDefault="00893FC7" w:rsidP="00893FC7">
      <w:pPr>
        <w:pStyle w:val="ae"/>
        <w:rPr>
          <w:lang w:val="en-US"/>
        </w:rPr>
      </w:pPr>
      <w:r w:rsidRPr="00922DF9">
        <w:rPr>
          <w:lang w:val="en-US"/>
        </w:rPr>
        <w:t>Finally a sensitivity analysis relying once again on graphical solution is proposed showing the impact of the costs variation on the optimal profit, the optimal batch size and the Optimal Tag Number.</w:t>
      </w:r>
    </w:p>
    <w:p w:rsidR="00893FC7" w:rsidRPr="00922DF9" w:rsidRDefault="00893FC7" w:rsidP="00893FC7">
      <w:pPr>
        <w:pStyle w:val="ae"/>
        <w:ind w:firstLine="0"/>
        <w:rPr>
          <w:lang w:val="en-US"/>
        </w:rPr>
      </w:pPr>
      <w:r w:rsidRPr="00922DF9">
        <w:rPr>
          <w:lang w:val="en-US"/>
        </w:rPr>
        <w:t>Numerical application</w:t>
      </w:r>
    </w:p>
    <w:p w:rsidR="00893FC7" w:rsidRPr="00922DF9" w:rsidRDefault="00893FC7" w:rsidP="00893FC7">
      <w:pPr>
        <w:pStyle w:val="ae"/>
        <w:rPr>
          <w:lang w:val="en-US"/>
        </w:rPr>
      </w:pPr>
      <w:r w:rsidRPr="00922DF9">
        <w:rPr>
          <w:lang w:val="en-US"/>
        </w:rPr>
        <w:t xml:space="preserve">In order to develop a numerical application of the approach above proposed the probability of exceeding the threshold in the batch has been represented by a binomial random variable X in which the acceptance probability is equal to the sum of probability that by executing n tests the number of non conforming products observed is less than n × </w:t>
      </w:r>
      <w:proofErr w:type="spellStart"/>
      <w:r w:rsidRPr="00922DF9">
        <w:rPr>
          <w:lang w:val="en-US"/>
        </w:rPr>
        <w:t>th</w:t>
      </w:r>
      <w:proofErr w:type="spellEnd"/>
      <w:r w:rsidRPr="00922DF9">
        <w:rPr>
          <w:lang w:val="en-US"/>
        </w:rPr>
        <w:t xml:space="preserve">: </w:t>
      </w:r>
    </w:p>
    <w:p w:rsidR="00893FC7" w:rsidRPr="00165A1B" w:rsidRDefault="00893FC7" w:rsidP="00893FC7">
      <w:pPr>
        <w:pStyle w:val="a9"/>
        <w:rPr>
          <w:lang w:val="en-US"/>
        </w:rPr>
      </w:pPr>
      <m:oMath>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x</m:t>
        </m:r>
        <m:r>
          <m:rPr>
            <m:sty m:val="p"/>
          </m:rPr>
          <w:rPr>
            <w:rFonts w:ascii="Cambria Math" w:hAnsi="Cambria Math" w:cs="Cambria Math"/>
            <w:lang w:val="en-US" w:eastAsia="en-US"/>
          </w:rPr>
          <m:t>≤</m:t>
        </m:r>
        <m:r>
          <w:rPr>
            <w:rFonts w:ascii="Cambria Math" w:hAnsi="Cambria Math"/>
            <w:lang w:val="en-US" w:eastAsia="en-US"/>
          </w:rPr>
          <m:t>th</m:t>
        </m:r>
        <m:r>
          <m:rPr>
            <m:sty m:val="p"/>
          </m:rPr>
          <w:rPr>
            <w:rFonts w:ascii="Cambria Math" w:hAnsi="Cambria Math" w:cs="Cambria Math"/>
            <w:lang w:val="en-US" w:eastAsia="en-US"/>
          </w:rPr>
          <m:t>×</m:t>
        </m:r>
        <m:r>
          <w:rPr>
            <w:rFonts w:ascii="Cambria Math" w:hAnsi="Cambria Math"/>
            <w:lang w:val="en-US" w:eastAsia="en-US"/>
          </w:rPr>
          <m:t>n</m:t>
        </m:r>
        <m:r>
          <m:rPr>
            <m:sty m:val="p"/>
          </m:rPr>
          <w:rPr>
            <w:rFonts w:ascii="Cambria Math" w:hAnsi="Cambria Math"/>
            <w:lang w:val="en-US" w:eastAsia="en-US"/>
          </w:rPr>
          <m:t>)=</m:t>
        </m:r>
        <m:nary>
          <m:naryPr>
            <m:chr m:val="∑"/>
            <m:limLoc m:val="undOvr"/>
            <m:ctrlPr>
              <w:rPr>
                <w:rFonts w:ascii="Cambria Math" w:hAnsi="Cambria Math"/>
                <w:lang w:val="en-US" w:eastAsia="en-US"/>
              </w:rPr>
            </m:ctrlPr>
          </m:naryPr>
          <m:sub>
            <m:r>
              <w:rPr>
                <w:rFonts w:ascii="Cambria Math" w:hAnsi="Cambria Math"/>
                <w:lang w:val="en-US" w:eastAsia="en-US"/>
              </w:rPr>
              <m:t>k</m:t>
            </m:r>
            <m:r>
              <m:rPr>
                <m:sty m:val="p"/>
              </m:rPr>
              <w:rPr>
                <w:rFonts w:ascii="Cambria Math" w:hAnsi="Cambria Math"/>
                <w:lang w:val="en-US" w:eastAsia="en-US"/>
              </w:rPr>
              <m:t>=0</m:t>
            </m:r>
          </m:sub>
          <m:sup>
            <m:r>
              <w:rPr>
                <w:rFonts w:ascii="Cambria Math" w:hAnsi="Cambria Math"/>
                <w:lang w:val="en-US" w:eastAsia="en-US"/>
              </w:rPr>
              <m:t>th</m:t>
            </m:r>
            <m:r>
              <m:rPr>
                <m:sty m:val="p"/>
              </m:rPr>
              <w:rPr>
                <w:rFonts w:ascii="Cambria Math" w:hAnsi="Cambria Math"/>
                <w:lang w:val="en-US"/>
              </w:rPr>
              <m:t>×</m:t>
            </m:r>
            <m:r>
              <w:rPr>
                <w:rFonts w:ascii="Cambria Math" w:hAnsi="Cambria Math"/>
                <w:lang w:val="en-US"/>
              </w:rPr>
              <m:t>n</m:t>
            </m:r>
          </m:sup>
          <m:e>
            <m:d>
              <m:dPr>
                <m:ctrlPr>
                  <w:rPr>
                    <w:rFonts w:ascii="Cambria Math" w:hAnsi="Cambria Math"/>
                    <w:lang w:val="en-US" w:eastAsia="en-US"/>
                  </w:rPr>
                </m:ctrlPr>
              </m:dPr>
              <m:e>
                <m:m>
                  <m:mPr>
                    <m:mcs>
                      <m:mc>
                        <m:mcPr>
                          <m:count m:val="1"/>
                          <m:mcJc m:val="center"/>
                        </m:mcPr>
                      </m:mc>
                    </m:mcs>
                    <m:ctrlPr>
                      <w:rPr>
                        <w:rFonts w:ascii="Cambria Math" w:hAnsi="Cambria Math"/>
                        <w:lang w:val="en-US" w:eastAsia="en-US"/>
                      </w:rPr>
                    </m:ctrlPr>
                  </m:mPr>
                  <m:mr>
                    <m:e>
                      <m:r>
                        <w:rPr>
                          <w:rFonts w:ascii="Cambria Math" w:hAnsi="Cambria Math"/>
                          <w:lang w:val="en-US" w:eastAsia="en-US"/>
                        </w:rPr>
                        <m:t>n</m:t>
                      </m:r>
                    </m:e>
                  </m:mr>
                  <m:mr>
                    <m:e>
                      <m:r>
                        <w:rPr>
                          <w:rFonts w:ascii="Cambria Math" w:hAnsi="Cambria Math"/>
                          <w:lang w:val="en-US" w:eastAsia="en-US"/>
                        </w:rPr>
                        <m:t>k</m:t>
                      </m:r>
                    </m:e>
                  </m:mr>
                </m:m>
              </m:e>
            </m:d>
          </m:e>
        </m:nary>
        <m:sSup>
          <m:sSupPr>
            <m:ctrlPr>
              <w:rPr>
                <w:rFonts w:ascii="Cambria Math" w:hAnsi="Cambria Math"/>
                <w:lang w:val="en-US" w:eastAsia="en-US"/>
              </w:rPr>
            </m:ctrlPr>
          </m:sSupPr>
          <m:e>
            <m:r>
              <w:rPr>
                <w:rFonts w:ascii="Cambria Math" w:hAnsi="Cambria Math"/>
                <w:lang w:val="en-US" w:eastAsia="en-US"/>
              </w:rPr>
              <m:t>p</m:t>
            </m:r>
          </m:e>
          <m:sup>
            <m:r>
              <w:rPr>
                <w:rFonts w:ascii="Cambria Math" w:hAnsi="Cambria Math"/>
                <w:lang w:val="en-US" w:eastAsia="en-US"/>
              </w:rPr>
              <m:t>k</m:t>
            </m:r>
          </m:sup>
        </m:sSup>
        <m:sSup>
          <m:sSupPr>
            <m:ctrlPr>
              <w:rPr>
                <w:rFonts w:ascii="Cambria Math" w:hAnsi="Cambria Math"/>
                <w:lang w:val="en-US" w:eastAsia="en-US"/>
              </w:rPr>
            </m:ctrlPr>
          </m:sSupPr>
          <m:e>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e>
          <m:sup>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k</m:t>
            </m:r>
          </m:sup>
        </m:sSup>
      </m:oMath>
      <w:r w:rsidR="00165A1B">
        <w:rPr>
          <w:lang w:val="en-US" w:eastAsia="en-US"/>
        </w:rPr>
        <w:t xml:space="preserve"> </w:t>
      </w:r>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 xml:space="preserve">The probability a batch fails the test can be calculated from (1) as follows: </w:t>
      </w:r>
    </w:p>
    <w:p w:rsidR="00893FC7" w:rsidRDefault="00893FC7" w:rsidP="00893FC7">
      <w:pPr>
        <w:pStyle w:val="a9"/>
      </w:pPr>
      <m:oMathPara>
        <m:oMath>
          <m:r>
            <w:rPr>
              <w:rFonts w:ascii="Cambria Math" w:hAnsi="Cambria Math" w:cs="Calibri"/>
              <w:lang w:val="en-US" w:eastAsia="en-US"/>
            </w:rPr>
            <m:t>P</m:t>
          </m:r>
          <m:r>
            <m:rPr>
              <m:sty m:val="p"/>
            </m:rPr>
            <w:rPr>
              <w:rFonts w:ascii="Cambria Math" w:hAnsi="Cambria Math" w:cs="Calibri"/>
              <w:lang w:val="en-US" w:eastAsia="en-US"/>
            </w:rPr>
            <m:t>(</m:t>
          </m:r>
          <m:r>
            <w:rPr>
              <w:rFonts w:ascii="Cambria Math" w:hAnsi="Cambria Math" w:cs="Calibri"/>
              <w:lang w:val="en-US" w:eastAsia="en-US"/>
            </w:rPr>
            <m:t>x</m:t>
          </m:r>
          <m:r>
            <m:rPr>
              <m:sty m:val="p"/>
            </m:rPr>
            <w:rPr>
              <w:rFonts w:ascii="Cambria Math" w:hAnsi="Cambria Math" w:cs="Calibri"/>
              <w:lang w:val="en-US" w:eastAsia="en-US"/>
            </w:rPr>
            <m:t>&gt;</m:t>
          </m:r>
          <m:r>
            <w:rPr>
              <w:rFonts w:ascii="Cambria Math" w:hAnsi="Cambria Math" w:cs="Calibri"/>
              <w:lang w:val="en-US" w:eastAsia="en-US"/>
            </w:rPr>
            <m:t>th</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x</m:t>
          </m:r>
          <m:r>
            <m:rPr>
              <m:sty m:val="p"/>
            </m:rPr>
            <w:rPr>
              <w:rFonts w:ascii="Cambria Math" w:hAnsi="Cambria Math"/>
              <w:lang w:val="en-US" w:eastAsia="en-US"/>
            </w:rPr>
            <m:t>≤</m:t>
          </m:r>
          <m:r>
            <w:rPr>
              <w:rFonts w:ascii="Cambria Math" w:hAnsi="Cambria Math"/>
              <w:lang w:val="en-US" w:eastAsia="en-US"/>
            </w:rPr>
            <m:t>th</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oMath>
      </m:oMathPara>
    </w:p>
    <w:p w:rsidR="00893FC7" w:rsidRDefault="00893FC7" w:rsidP="00893FC7">
      <w:pPr>
        <w:pStyle w:val="ae"/>
        <w:rPr>
          <w:lang w:val="en-US"/>
        </w:rPr>
      </w:pPr>
    </w:p>
    <w:p w:rsidR="00893FC7" w:rsidRPr="00922DF9" w:rsidRDefault="00893FC7" w:rsidP="00893FC7">
      <w:pPr>
        <w:pStyle w:val="ae"/>
        <w:rPr>
          <w:lang w:val="en-US"/>
        </w:rPr>
      </w:pPr>
      <w:r w:rsidRPr="00922DF9">
        <w:rPr>
          <w:lang w:val="en-US"/>
        </w:rPr>
        <w:t>Since the computation of binomial distribution becomes difficult when the size of batch increases, in order to simplify the calculation a continuous approximation of the binomial distribution has been employed:</w:t>
      </w:r>
    </w:p>
    <w:p w:rsidR="00893FC7" w:rsidRDefault="00893FC7" w:rsidP="00893FC7">
      <w:pPr>
        <w:pStyle w:val="a9"/>
      </w:pPr>
      <m:oMathPara>
        <m:oMath>
          <m:r>
            <w:rPr>
              <w:rFonts w:ascii="Cambria Math" w:hAnsi="Cambria Math"/>
              <w:lang w:val="en-US" w:eastAsia="en-US"/>
            </w:rPr>
            <m:t>X</m:t>
          </m:r>
          <m:r>
            <m:rPr>
              <m:sty m:val="p"/>
            </m:rPr>
            <w:rPr>
              <w:rFonts w:ascii="Cambria Math" w:hAnsi="Cambria Math" w:cs="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cs="Cambria Math"/>
              <w:lang w:val="en-US" w:eastAsia="en-US"/>
            </w:rPr>
            <m:t>μ</m:t>
          </m:r>
          <m:r>
            <m:rPr>
              <m:sty m:val="p"/>
            </m:rPr>
            <w:rPr>
              <w:rFonts w:ascii="Cambria Math" w:hAnsi="Cambria Math"/>
              <w:lang w:val="en-US" w:eastAsia="en-US"/>
            </w:rPr>
            <m:t>,</m:t>
          </m:r>
          <m:r>
            <w:rPr>
              <w:rFonts w:ascii="Cambria Math" w:hAnsi="Cambria Math" w:cs="Cambria Math"/>
              <w:lang w:val="en-US" w:eastAsia="en-US"/>
            </w:rPr>
            <m:t>σ</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lang w:val="en-US" w:eastAsia="en-US"/>
            </w:rPr>
            <m:t>,</m:t>
          </m:r>
          <m:rad>
            <m:radPr>
              <m:degHide m:val="on"/>
              <m:ctrlPr>
                <w:rPr>
                  <w:rFonts w:ascii="Cambria Math" w:hAnsi="Cambria Math"/>
                  <w:lang w:val="en-US" w:eastAsia="en-US"/>
                </w:rPr>
              </m:ctrlPr>
            </m:radPr>
            <m:deg/>
            <m:e>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rPr>
                <m:t>×</m:t>
              </m:r>
              <m:r>
                <w:rPr>
                  <w:rFonts w:ascii="Cambria Math" w:hAnsi="Cambria Math"/>
                  <w:lang w:val="en-US" w:eastAsia="en-US"/>
                </w:rPr>
                <m:t>p</m:t>
              </m:r>
              <m:r>
                <m:rPr>
                  <m:sty m:val="p"/>
                </m:rPr>
                <w:rPr>
                  <w:rFonts w:ascii="Cambria Math" w:hAnsi="Cambria Math"/>
                  <w:lang w:val="en-US" w:eastAsia="en-US"/>
                </w:rPr>
                <m:t>)</m:t>
              </m:r>
              <m:r>
                <m:rPr>
                  <m:sty m:val="p"/>
                </m:rPr>
                <w:rPr>
                  <w:rFonts w:ascii="Cambria Math" w:hAnsi="Cambria Math"/>
                  <w:lang w:val="en-US"/>
                </w:rPr>
                <m:t>×(1-</m:t>
              </m:r>
              <m:r>
                <w:rPr>
                  <w:rFonts w:ascii="Cambria Math" w:hAnsi="Cambria Math"/>
                  <w:lang w:val="en-US"/>
                </w:rPr>
                <m:t>p</m:t>
              </m:r>
              <m:r>
                <m:rPr>
                  <m:sty m:val="p"/>
                </m:rPr>
                <w:rPr>
                  <w:rFonts w:ascii="Cambria Math" w:hAnsi="Cambria Math"/>
                  <w:lang w:val="en-US"/>
                </w:rPr>
                <m:t>)</m:t>
              </m:r>
            </m:e>
          </m:rad>
          <m:r>
            <m:rPr>
              <m:sty m:val="p"/>
            </m:rPr>
            <w:rPr>
              <w:rFonts w:ascii="Cambria Math" w:hAnsi="Cambria Math"/>
              <w:lang w:val="en-US" w:eastAsia="en-US"/>
            </w:rPr>
            <m:t>)</m:t>
          </m:r>
        </m:oMath>
      </m:oMathPara>
    </w:p>
    <w:p w:rsidR="00893FC7" w:rsidRPr="00922DF9" w:rsidRDefault="00893FC7" w:rsidP="00893FC7">
      <w:pPr>
        <w:pStyle w:val="ae"/>
        <w:ind w:firstLine="0"/>
        <w:rPr>
          <w:lang w:val="en-US"/>
        </w:rPr>
      </w:pPr>
    </w:p>
    <w:p w:rsidR="00893FC7" w:rsidRPr="00922DF9" w:rsidRDefault="00165A1B" w:rsidP="00893FC7">
      <w:pPr>
        <w:pStyle w:val="ae"/>
        <w:rPr>
          <w:lang w:val="en-US"/>
        </w:rPr>
      </w:pPr>
      <w:proofErr w:type="gramStart"/>
      <w:r>
        <w:rPr>
          <w:lang w:val="en-US"/>
        </w:rPr>
        <w:t>D</w:t>
      </w:r>
      <w:r w:rsidR="00893FC7" w:rsidRPr="00922DF9">
        <w:rPr>
          <w:lang w:val="en-US"/>
        </w:rPr>
        <w:t>ifferent from the fixed threshold.</w:t>
      </w:r>
      <w:proofErr w:type="gramEnd"/>
      <w:r w:rsidR="00893FC7" w:rsidRPr="00922DF9">
        <w:rPr>
          <w:lang w:val="en-US"/>
        </w:rPr>
        <w:t xml:space="preserve"> In such case the existence of a break-even point making affordable the traceability system depends upon the batch size and on the cost/price parameters of Eq. (13). It can be showed that an optimal profit can be found maximizing the profit in presence of the traceability system and that such a profit is greater than that in absence of such a system as given in Fig. 2. Fig. 2 shows that </w:t>
      </w:r>
      <w:proofErr w:type="gramStart"/>
      <w:r w:rsidR="00893FC7" w:rsidRPr="00922DF9">
        <w:rPr>
          <w:lang w:val="en-US"/>
        </w:rPr>
        <w:t>E(</w:t>
      </w:r>
      <w:proofErr w:type="gramEnd"/>
      <w:r w:rsidR="00893FC7" w:rsidRPr="00922DF9">
        <w:rPr>
          <w:lang w:val="en-US"/>
        </w:rPr>
        <w:t>T) function is initially increasing until a maximum is reached; then it decreases to a minimum value, and finally becomes asymptotically equal to the profit in absence of traceability system. The Economic Traceability Lot can hence be determined which maximizes the total profit.</w:t>
      </w:r>
    </w:p>
    <w:p w:rsidR="00893FC7" w:rsidRPr="00922DF9" w:rsidRDefault="00893FC7" w:rsidP="00893FC7">
      <w:pPr>
        <w:pStyle w:val="ae"/>
        <w:rPr>
          <w:lang w:val="en-US"/>
        </w:rPr>
      </w:pPr>
      <w:r w:rsidRPr="00922DF9">
        <w:rPr>
          <w:lang w:val="en-US"/>
        </w:rPr>
        <w:t xml:space="preserve">Once the Economic Traceability Lot has been determined, the proper setting of the cost/price parameters can be determined by posing the condition of Eq. (17) and determining the value of each parameter making affordable the traceability system. For such purpose a further analysis has been carried out in order </w:t>
      </w:r>
    </w:p>
    <w:p w:rsidR="00893FC7" w:rsidRPr="00843573" w:rsidRDefault="00893FC7" w:rsidP="00843573">
      <w:pPr>
        <w:pStyle w:val="2"/>
      </w:pPr>
      <w:bookmarkStart w:id="6" w:name="_Toc214551810"/>
      <w:proofErr w:type="spellStart"/>
      <w:r w:rsidRPr="00843573">
        <w:t>Conclusions</w:t>
      </w:r>
      <w:bookmarkEnd w:id="6"/>
      <w:proofErr w:type="spellEnd"/>
    </w:p>
    <w:p w:rsidR="00893FC7" w:rsidRPr="00922DF9" w:rsidRDefault="00893FC7" w:rsidP="00893FC7">
      <w:pPr>
        <w:pStyle w:val="ae"/>
        <w:rPr>
          <w:lang w:val="en-US"/>
        </w:rPr>
      </w:pPr>
      <w:r w:rsidRPr="00922DF9">
        <w:rPr>
          <w:lang w:val="en-US"/>
        </w:rPr>
        <w:t>The study presented focuses on the economic analysis of a traceability system with the aim to show that a traceability system can represent an effective guarantee for the consumer and simultaneously a tool to increase the supply chain efficiency and its returns. In order to achieve this goal the traceability system must be properly designed considering the intrinsic characteristics of the supply chain itself. Nowadays, innovative technologies based on real-time detection of environmental parameters offer the opportunity to implement automatic quality monitoring through the supply chain. The information on the quality level allows the proper selection of products destination based on their remaining quality; such products can hence be sold at the target market or at an alternative one rather than disposed to the landfill.</w:t>
      </w:r>
    </w:p>
    <w:p w:rsidR="00893FC7" w:rsidRPr="00922DF9" w:rsidRDefault="00893FC7" w:rsidP="00893FC7">
      <w:pPr>
        <w:pStyle w:val="ae"/>
        <w:rPr>
          <w:lang w:val="en-US"/>
        </w:rPr>
      </w:pPr>
      <w:r w:rsidRPr="00922DF9">
        <w:rPr>
          <w:lang w:val="en-US"/>
        </w:rPr>
        <w:t xml:space="preserve">In this context a proper methodology is required to determine and mathematical approach to determine the value of the information generated by the traceability system compared to the operational cost of automatic data gathering performed via the RFID technology. The results </w:t>
      </w:r>
      <w:r w:rsidRPr="00922DF9">
        <w:rPr>
          <w:lang w:val="en-US"/>
        </w:rPr>
        <w:lastRenderedPageBreak/>
        <w:t>show that the implementation of a traceability system can actually generate a profit for the supply chain when the infrastructure is properly designed with respect to its granularity level.</w:t>
      </w:r>
    </w:p>
    <w:p w:rsidR="00893FC7" w:rsidRPr="00922DF9" w:rsidRDefault="00893FC7" w:rsidP="00893FC7">
      <w:pPr>
        <w:pStyle w:val="ae"/>
        <w:rPr>
          <w:lang w:val="en-US"/>
        </w:rPr>
      </w:pPr>
      <w:r w:rsidRPr="00922DF9">
        <w:rPr>
          <w:lang w:val="en-US"/>
        </w:rPr>
        <w:t>The numerical analysis shows in fact that the profit function achieves an optimal value in correspondence to an optimal granularity level which ultimately defines the optimal quantity to track (Economic Traceability Lot).</w:t>
      </w:r>
    </w:p>
    <w:p w:rsidR="00893FC7" w:rsidRPr="00922DF9" w:rsidRDefault="00893FC7" w:rsidP="00893FC7">
      <w:pPr>
        <w:pStyle w:val="ae"/>
        <w:rPr>
          <w:lang w:val="en-US"/>
        </w:rPr>
      </w:pPr>
      <w:r w:rsidRPr="00922DF9">
        <w:rPr>
          <w:lang w:val="en-US"/>
        </w:rPr>
        <w:t>The proposed approach, however, is based on simplifying assumptions (such as perfect inspection of the RFID). In such context the first and second type errors consisting in accepting a deteriorated batch and rejecting a non-deteriorated one should be considered and their impact on the optimal batch size should be further investigated. Moreover the present approach considers the impact of variable implementation costs consisting in the tag cost on the profit function. However the approach can be further extended by considering fixed infrastructural costs thus employed for investment decisions.</w:t>
      </w:r>
    </w:p>
    <w:p w:rsidR="00893FC7" w:rsidRPr="00843573" w:rsidRDefault="00893FC7" w:rsidP="00843573">
      <w:pPr>
        <w:pStyle w:val="2"/>
      </w:pPr>
      <w:bookmarkStart w:id="7" w:name="_Toc214551811"/>
      <w:proofErr w:type="spellStart"/>
      <w:r w:rsidRPr="00843573">
        <w:t>References</w:t>
      </w:r>
      <w:bookmarkEnd w:id="7"/>
      <w:proofErr w:type="spellEnd"/>
    </w:p>
    <w:p w:rsidR="00893FC7" w:rsidRPr="00922DF9" w:rsidRDefault="00893FC7" w:rsidP="00893FC7">
      <w:pPr>
        <w:pStyle w:val="ae"/>
        <w:rPr>
          <w:lang w:val="en-US"/>
        </w:rPr>
      </w:pPr>
      <w:r w:rsidRPr="00922DF9">
        <w:rPr>
          <w:lang w:val="en-US"/>
        </w:rPr>
        <w:t>Aiello</w:t>
      </w:r>
      <w:proofErr w:type="gramStart"/>
      <w:r w:rsidRPr="00922DF9">
        <w:rPr>
          <w:lang w:val="en-US"/>
        </w:rPr>
        <w:t>,G</w:t>
      </w:r>
      <w:proofErr w:type="gramEnd"/>
      <w:r w:rsidRPr="00922DF9">
        <w:rPr>
          <w:lang w:val="en-US"/>
        </w:rPr>
        <w:t>.,LaScalia,G.,&amp;Micale,R.(2012).Simulationanalysisofcoldchainperformance based on time–temperature data. Production Planning &amp; Control: The Management of Operations, 23(6), 468–476.</w:t>
      </w:r>
    </w:p>
    <w:p w:rsidR="00893FC7" w:rsidRPr="00922DF9" w:rsidRDefault="00893FC7" w:rsidP="00893FC7">
      <w:pPr>
        <w:pStyle w:val="ae"/>
        <w:rPr>
          <w:lang w:val="en-US"/>
        </w:rPr>
      </w:pPr>
      <w:proofErr w:type="spellStart"/>
      <w:proofErr w:type="gramStart"/>
      <w:r w:rsidRPr="00922DF9">
        <w:rPr>
          <w:lang w:val="en-US"/>
        </w:rPr>
        <w:t>Bechini</w:t>
      </w:r>
      <w:proofErr w:type="spellEnd"/>
      <w:r w:rsidRPr="00922DF9">
        <w:rPr>
          <w:lang w:val="en-US"/>
        </w:rPr>
        <w:t xml:space="preserve">, A., </w:t>
      </w:r>
      <w:proofErr w:type="spellStart"/>
      <w:r w:rsidRPr="00922DF9">
        <w:rPr>
          <w:lang w:val="en-US"/>
        </w:rPr>
        <w:t>Cimino</w:t>
      </w:r>
      <w:proofErr w:type="spellEnd"/>
      <w:r w:rsidRPr="00922DF9">
        <w:rPr>
          <w:lang w:val="en-US"/>
        </w:rPr>
        <w:t xml:space="preserve">, M. G. C. A., </w:t>
      </w:r>
      <w:proofErr w:type="spellStart"/>
      <w:r w:rsidRPr="00922DF9">
        <w:rPr>
          <w:lang w:val="en-US"/>
        </w:rPr>
        <w:t>Marcelloni</w:t>
      </w:r>
      <w:proofErr w:type="spellEnd"/>
      <w:r w:rsidRPr="00922DF9">
        <w:rPr>
          <w:lang w:val="en-US"/>
        </w:rPr>
        <w:t xml:space="preserve">, F., &amp; </w:t>
      </w:r>
      <w:proofErr w:type="spellStart"/>
      <w:r w:rsidRPr="00922DF9">
        <w:rPr>
          <w:lang w:val="en-US"/>
        </w:rPr>
        <w:t>Tomasi</w:t>
      </w:r>
      <w:proofErr w:type="spellEnd"/>
      <w:r w:rsidRPr="00922DF9">
        <w:rPr>
          <w:lang w:val="en-US"/>
        </w:rPr>
        <w:t>, A. (2008).</w:t>
      </w:r>
      <w:proofErr w:type="gramEnd"/>
      <w:r w:rsidRPr="00922DF9">
        <w:rPr>
          <w:lang w:val="en-US"/>
        </w:rPr>
        <w:t xml:space="preserve"> Patterns and technologies for enabling supply chain traceability through collaborative e-business. Information and Software Technology, 50, 342–359.</w:t>
      </w:r>
    </w:p>
    <w:p w:rsidR="00893FC7" w:rsidRPr="00922DF9" w:rsidRDefault="00893FC7" w:rsidP="00893FC7">
      <w:pPr>
        <w:pStyle w:val="ae"/>
        <w:rPr>
          <w:lang w:val="en-US"/>
        </w:rPr>
      </w:pPr>
      <w:proofErr w:type="spellStart"/>
      <w:r w:rsidRPr="00922DF9">
        <w:rPr>
          <w:lang w:val="en-US"/>
        </w:rPr>
        <w:t>Bollen</w:t>
      </w:r>
      <w:proofErr w:type="spellEnd"/>
      <w:r w:rsidRPr="00922DF9">
        <w:rPr>
          <w:lang w:val="en-US"/>
        </w:rPr>
        <w:t xml:space="preserve">, A. F., </w:t>
      </w:r>
      <w:proofErr w:type="spellStart"/>
      <w:r w:rsidRPr="00922DF9">
        <w:rPr>
          <w:lang w:val="en-US"/>
        </w:rPr>
        <w:t>Riden</w:t>
      </w:r>
      <w:proofErr w:type="spellEnd"/>
      <w:r w:rsidRPr="00922DF9">
        <w:rPr>
          <w:lang w:val="en-US"/>
        </w:rPr>
        <w:t xml:space="preserve">, C. P., &amp; Cox, N. R. (2007). </w:t>
      </w:r>
      <w:proofErr w:type="gramStart"/>
      <w:r w:rsidRPr="00922DF9">
        <w:rPr>
          <w:lang w:val="en-US"/>
        </w:rPr>
        <w:t>Agricultural supply system traceability.</w:t>
      </w:r>
      <w:proofErr w:type="gramEnd"/>
      <w:r w:rsidRPr="00922DF9">
        <w:rPr>
          <w:lang w:val="en-US"/>
        </w:rPr>
        <w:t xml:space="preserve"> </w:t>
      </w:r>
      <w:proofErr w:type="gramStart"/>
      <w:r w:rsidRPr="00922DF9">
        <w:rPr>
          <w:lang w:val="en-US"/>
        </w:rPr>
        <w:t>Part I. Role of packing procedures and effects of fruit mixing.</w:t>
      </w:r>
      <w:proofErr w:type="gramEnd"/>
      <w:r w:rsidRPr="00922DF9">
        <w:rPr>
          <w:lang w:val="en-US"/>
        </w:rPr>
        <w:t xml:space="preserve"> </w:t>
      </w:r>
      <w:proofErr w:type="spellStart"/>
      <w:r w:rsidRPr="00922DF9">
        <w:rPr>
          <w:lang w:val="en-US"/>
        </w:rPr>
        <w:t>Biosystems</w:t>
      </w:r>
      <w:proofErr w:type="spellEnd"/>
      <w:r w:rsidRPr="00922DF9">
        <w:rPr>
          <w:lang w:val="en-US"/>
        </w:rPr>
        <w:t xml:space="preserve"> Engineering, 98(4), 391–400.</w:t>
      </w:r>
    </w:p>
    <w:p w:rsidR="00893FC7" w:rsidRPr="00F14840" w:rsidRDefault="00893FC7" w:rsidP="00893FC7">
      <w:pPr>
        <w:pStyle w:val="ae"/>
        <w:rPr>
          <w:lang w:val="en-US"/>
        </w:rPr>
      </w:pPr>
      <w:proofErr w:type="spellStart"/>
      <w:proofErr w:type="gramStart"/>
      <w:r w:rsidRPr="00922DF9">
        <w:rPr>
          <w:lang w:val="en-US"/>
        </w:rPr>
        <w:t>Dabbene</w:t>
      </w:r>
      <w:proofErr w:type="spellEnd"/>
      <w:r w:rsidRPr="00922DF9">
        <w:rPr>
          <w:lang w:val="en-US"/>
        </w:rPr>
        <w:t>, F., &amp; Gay, P. (2011).</w:t>
      </w:r>
      <w:proofErr w:type="gramEnd"/>
      <w:r w:rsidRPr="00922DF9">
        <w:rPr>
          <w:lang w:val="en-US"/>
        </w:rPr>
        <w:t xml:space="preserve"> Food traceability systems: Performance evaluation and optimization. </w:t>
      </w:r>
      <w:r w:rsidRPr="00F14840">
        <w:rPr>
          <w:lang w:val="en-US"/>
        </w:rPr>
        <w:t>Computers and Electronics in Agriculture, 75, 139–146.</w:t>
      </w:r>
    </w:p>
    <w:p w:rsidR="00893FC7" w:rsidRPr="00922DF9" w:rsidRDefault="00893FC7" w:rsidP="00893FC7">
      <w:pPr>
        <w:pStyle w:val="ae"/>
        <w:rPr>
          <w:lang w:val="en-US"/>
        </w:rPr>
      </w:pPr>
      <w:proofErr w:type="gramStart"/>
      <w:r w:rsidRPr="00922DF9">
        <w:rPr>
          <w:lang w:val="en-US"/>
        </w:rPr>
        <w:t xml:space="preserve">De </w:t>
      </w:r>
      <w:proofErr w:type="spellStart"/>
      <w:r w:rsidRPr="00922DF9">
        <w:rPr>
          <w:lang w:val="en-US"/>
        </w:rPr>
        <w:t>Cindio</w:t>
      </w:r>
      <w:proofErr w:type="spellEnd"/>
      <w:r w:rsidRPr="00922DF9">
        <w:rPr>
          <w:lang w:val="en-US"/>
        </w:rPr>
        <w:t xml:space="preserve">, B., Longo, F., </w:t>
      </w:r>
      <w:proofErr w:type="spellStart"/>
      <w:r w:rsidRPr="00922DF9">
        <w:rPr>
          <w:lang w:val="en-US"/>
        </w:rPr>
        <w:t>Mirabelli</w:t>
      </w:r>
      <w:proofErr w:type="spellEnd"/>
      <w:r w:rsidRPr="00922DF9">
        <w:rPr>
          <w:lang w:val="en-US"/>
        </w:rPr>
        <w:t xml:space="preserve">, G., &amp; </w:t>
      </w:r>
      <w:proofErr w:type="spellStart"/>
      <w:r w:rsidRPr="00922DF9">
        <w:rPr>
          <w:lang w:val="en-US"/>
        </w:rPr>
        <w:t>Pizzuti</w:t>
      </w:r>
      <w:proofErr w:type="spellEnd"/>
      <w:r w:rsidRPr="00922DF9">
        <w:rPr>
          <w:lang w:val="en-US"/>
        </w:rPr>
        <w:t>, T. (2011).</w:t>
      </w:r>
      <w:proofErr w:type="gramEnd"/>
      <w:r w:rsidRPr="00922DF9">
        <w:rPr>
          <w:lang w:val="en-US"/>
        </w:rPr>
        <w:t xml:space="preserve"> </w:t>
      </w:r>
      <w:proofErr w:type="gramStart"/>
      <w:r w:rsidRPr="00922DF9">
        <w:rPr>
          <w:lang w:val="en-US"/>
        </w:rPr>
        <w:t>Modeling a traceability system for a food supply chain: Standards, technologies and software tools.</w:t>
      </w:r>
      <w:proofErr w:type="gramEnd"/>
      <w:r w:rsidRPr="00922DF9">
        <w:rPr>
          <w:lang w:val="en-US"/>
        </w:rPr>
        <w:t xml:space="preserve"> In Presented at the MAS: The international conference on modeling &amp; applied simulation, Rome (pp. 488–494).</w:t>
      </w:r>
    </w:p>
    <w:p w:rsidR="00893FC7" w:rsidRPr="00F14840" w:rsidRDefault="00893FC7" w:rsidP="00893FC7">
      <w:pPr>
        <w:pStyle w:val="ae"/>
        <w:rPr>
          <w:lang w:val="en-US"/>
        </w:rPr>
      </w:pPr>
      <w:proofErr w:type="spellStart"/>
      <w:r w:rsidRPr="00922DF9">
        <w:rPr>
          <w:lang w:val="en-US"/>
        </w:rPr>
        <w:t>Dessureault</w:t>
      </w:r>
      <w:proofErr w:type="spellEnd"/>
      <w:r w:rsidRPr="00922DF9">
        <w:rPr>
          <w:lang w:val="en-US"/>
        </w:rPr>
        <w:t xml:space="preserve">, S., Henson, S., </w:t>
      </w:r>
      <w:proofErr w:type="spellStart"/>
      <w:r w:rsidRPr="00922DF9">
        <w:rPr>
          <w:lang w:val="en-US"/>
        </w:rPr>
        <w:t>Herath</w:t>
      </w:r>
      <w:proofErr w:type="spellEnd"/>
      <w:r w:rsidRPr="00922DF9">
        <w:rPr>
          <w:lang w:val="en-US"/>
        </w:rPr>
        <w:t xml:space="preserve">, D., &amp; </w:t>
      </w:r>
      <w:proofErr w:type="spellStart"/>
      <w:r w:rsidRPr="00922DF9">
        <w:rPr>
          <w:lang w:val="en-US"/>
        </w:rPr>
        <w:t>Sparling</w:t>
      </w:r>
      <w:proofErr w:type="spellEnd"/>
      <w:r w:rsidRPr="00922DF9">
        <w:rPr>
          <w:lang w:val="en-US"/>
        </w:rPr>
        <w:t xml:space="preserve">, D. (2006). </w:t>
      </w:r>
      <w:proofErr w:type="gramStart"/>
      <w:r w:rsidRPr="00922DF9">
        <w:rPr>
          <w:lang w:val="en-US"/>
        </w:rPr>
        <w:t>Costs and benefits of traceability in the Canadian dairy-processing industry.</w:t>
      </w:r>
      <w:proofErr w:type="gramEnd"/>
      <w:r w:rsidRPr="00922DF9">
        <w:rPr>
          <w:lang w:val="en-US"/>
        </w:rPr>
        <w:t xml:space="preserve"> </w:t>
      </w:r>
      <w:r w:rsidRPr="00F14840">
        <w:rPr>
          <w:lang w:val="en-US"/>
        </w:rPr>
        <w:t>Journal of Food Distribution Research, 37(1), 154–160.</w:t>
      </w:r>
    </w:p>
    <w:p w:rsidR="00893FC7" w:rsidRPr="00922DF9" w:rsidRDefault="00893FC7" w:rsidP="00893FC7">
      <w:pPr>
        <w:pStyle w:val="ae"/>
        <w:rPr>
          <w:lang w:val="en-US"/>
        </w:rPr>
      </w:pPr>
      <w:proofErr w:type="spellStart"/>
      <w:proofErr w:type="gramStart"/>
      <w:r w:rsidRPr="00922DF9">
        <w:rPr>
          <w:lang w:val="en-US"/>
        </w:rPr>
        <w:lastRenderedPageBreak/>
        <w:t>Dupuy</w:t>
      </w:r>
      <w:proofErr w:type="spellEnd"/>
      <w:r w:rsidRPr="00922DF9">
        <w:rPr>
          <w:lang w:val="en-US"/>
        </w:rPr>
        <w:t xml:space="preserve">, C., </w:t>
      </w:r>
      <w:proofErr w:type="spellStart"/>
      <w:r w:rsidRPr="00922DF9">
        <w:rPr>
          <w:lang w:val="en-US"/>
        </w:rPr>
        <w:t>Botta-Genoulaz</w:t>
      </w:r>
      <w:proofErr w:type="spellEnd"/>
      <w:r w:rsidRPr="00922DF9">
        <w:rPr>
          <w:lang w:val="en-US"/>
        </w:rPr>
        <w:t xml:space="preserve">, V., &amp; </w:t>
      </w:r>
      <w:proofErr w:type="spellStart"/>
      <w:r w:rsidRPr="00922DF9">
        <w:rPr>
          <w:lang w:val="en-US"/>
        </w:rPr>
        <w:t>Guinet</w:t>
      </w:r>
      <w:proofErr w:type="spellEnd"/>
      <w:r w:rsidRPr="00922DF9">
        <w:rPr>
          <w:lang w:val="en-US"/>
        </w:rPr>
        <w:t>, A. (2005).</w:t>
      </w:r>
      <w:proofErr w:type="gramEnd"/>
      <w:r w:rsidRPr="00922DF9">
        <w:rPr>
          <w:lang w:val="en-US"/>
        </w:rPr>
        <w:t xml:space="preserve"> </w:t>
      </w:r>
      <w:proofErr w:type="gramStart"/>
      <w:r w:rsidRPr="00922DF9">
        <w:rPr>
          <w:lang w:val="en-US"/>
        </w:rPr>
        <w:t xml:space="preserve">Batch dispersion model to </w:t>
      </w:r>
      <w:proofErr w:type="spellStart"/>
      <w:r w:rsidRPr="00922DF9">
        <w:rPr>
          <w:lang w:val="en-US"/>
        </w:rPr>
        <w:t>optimise</w:t>
      </w:r>
      <w:proofErr w:type="spellEnd"/>
      <w:r w:rsidRPr="00922DF9">
        <w:rPr>
          <w:lang w:val="en-US"/>
        </w:rPr>
        <w:t xml:space="preserve"> traceability in food industry.</w:t>
      </w:r>
      <w:proofErr w:type="gramEnd"/>
      <w:r w:rsidRPr="00922DF9">
        <w:rPr>
          <w:lang w:val="en-US"/>
        </w:rPr>
        <w:t xml:space="preserve"> Journal of Food Engineering, 70(3), 333–339.</w:t>
      </w:r>
    </w:p>
    <w:p w:rsidR="00893FC7" w:rsidRPr="00922DF9" w:rsidRDefault="00893FC7" w:rsidP="00893FC7">
      <w:pPr>
        <w:pStyle w:val="ae"/>
        <w:rPr>
          <w:lang w:val="en-US"/>
        </w:rPr>
      </w:pPr>
      <w:proofErr w:type="gramStart"/>
      <w:r w:rsidRPr="00922DF9">
        <w:rPr>
          <w:lang w:val="en-US"/>
        </w:rPr>
        <w:t>Food Chain Strategy Division, Food Standards Agency.</w:t>
      </w:r>
      <w:proofErr w:type="gramEnd"/>
      <w:r w:rsidRPr="00922DF9">
        <w:rPr>
          <w:lang w:val="en-US"/>
        </w:rPr>
        <w:t xml:space="preserve"> </w:t>
      </w:r>
      <w:proofErr w:type="gramStart"/>
      <w:r w:rsidRPr="00922DF9">
        <w:rPr>
          <w:lang w:val="en-US"/>
        </w:rPr>
        <w:t>(2002). Traceability in the food chain – A preliminary study.</w:t>
      </w:r>
      <w:proofErr w:type="gramEnd"/>
    </w:p>
    <w:p w:rsidR="00893FC7" w:rsidRPr="00F14840" w:rsidRDefault="00893FC7" w:rsidP="00893FC7">
      <w:pPr>
        <w:pStyle w:val="ae"/>
        <w:rPr>
          <w:lang w:val="en-US"/>
        </w:rPr>
      </w:pPr>
      <w:proofErr w:type="spellStart"/>
      <w:r w:rsidRPr="00922DF9">
        <w:rPr>
          <w:lang w:val="en-US"/>
        </w:rPr>
        <w:t>Gabler</w:t>
      </w:r>
      <w:proofErr w:type="spellEnd"/>
      <w:r w:rsidRPr="00922DF9">
        <w:rPr>
          <w:lang w:val="en-US"/>
        </w:rPr>
        <w:t xml:space="preserve">, R. (2005, June 23). </w:t>
      </w:r>
      <w:proofErr w:type="spellStart"/>
      <w:proofErr w:type="gramStart"/>
      <w:r w:rsidRPr="00922DF9">
        <w:rPr>
          <w:lang w:val="en-US"/>
        </w:rPr>
        <w:t>Produktqualität</w:t>
      </w:r>
      <w:proofErr w:type="spellEnd"/>
      <w:r w:rsidRPr="00922DF9">
        <w:rPr>
          <w:lang w:val="en-US"/>
        </w:rPr>
        <w:t xml:space="preserve"> von </w:t>
      </w:r>
      <w:proofErr w:type="spellStart"/>
      <w:r w:rsidRPr="00922DF9">
        <w:rPr>
          <w:lang w:val="en-US"/>
        </w:rPr>
        <w:t>Obst</w:t>
      </w:r>
      <w:proofErr w:type="spellEnd"/>
      <w:r w:rsidRPr="00922DF9">
        <w:rPr>
          <w:lang w:val="en-US"/>
        </w:rPr>
        <w:t xml:space="preserve"> und </w:t>
      </w:r>
      <w:proofErr w:type="spellStart"/>
      <w:r w:rsidRPr="00922DF9">
        <w:rPr>
          <w:lang w:val="en-US"/>
        </w:rPr>
        <w:t>Gemuse</w:t>
      </w:r>
      <w:proofErr w:type="spellEnd"/>
      <w:r w:rsidRPr="00922DF9">
        <w:rPr>
          <w:lang w:val="en-US"/>
        </w:rPr>
        <w:t>, 10.</w:t>
      </w:r>
      <w:proofErr w:type="gramEnd"/>
      <w:r w:rsidRPr="00922DF9">
        <w:rPr>
          <w:lang w:val="en-US"/>
        </w:rPr>
        <w:t xml:space="preserve"> </w:t>
      </w:r>
      <w:proofErr w:type="spellStart"/>
      <w:proofErr w:type="gramStart"/>
      <w:r w:rsidRPr="00F14840">
        <w:rPr>
          <w:lang w:val="en-US"/>
        </w:rPr>
        <w:t>Frische</w:t>
      </w:r>
      <w:proofErr w:type="spellEnd"/>
      <w:r w:rsidRPr="00F14840">
        <w:rPr>
          <w:lang w:val="en-US"/>
        </w:rPr>
        <w:t xml:space="preserve">- und </w:t>
      </w:r>
      <w:proofErr w:type="spellStart"/>
      <w:r w:rsidRPr="00F14840">
        <w:rPr>
          <w:lang w:val="en-US"/>
        </w:rPr>
        <w:t>Lebensmittel-Logistik-Tagung</w:t>
      </w:r>
      <w:proofErr w:type="spellEnd"/>
      <w:r w:rsidRPr="00F14840">
        <w:rPr>
          <w:lang w:val="en-US"/>
        </w:rPr>
        <w:t xml:space="preserve">, </w:t>
      </w:r>
      <w:proofErr w:type="spellStart"/>
      <w:r w:rsidRPr="00F14840">
        <w:rPr>
          <w:lang w:val="en-US"/>
        </w:rPr>
        <w:t>Kerfeld</w:t>
      </w:r>
      <w:proofErr w:type="spellEnd"/>
      <w:r w:rsidRPr="00F14840">
        <w:rPr>
          <w:lang w:val="en-US"/>
        </w:rPr>
        <w:t>, Germany.</w:t>
      </w:r>
      <w:proofErr w:type="gramEnd"/>
    </w:p>
    <w:p w:rsidR="00893FC7" w:rsidRPr="00922DF9" w:rsidRDefault="00893FC7" w:rsidP="00893FC7">
      <w:pPr>
        <w:pStyle w:val="ae"/>
        <w:rPr>
          <w:lang w:val="en-US"/>
        </w:rPr>
      </w:pPr>
      <w:proofErr w:type="spellStart"/>
      <w:proofErr w:type="gramStart"/>
      <w:r w:rsidRPr="00922DF9">
        <w:rPr>
          <w:lang w:val="en-US"/>
        </w:rPr>
        <w:t>Gandino</w:t>
      </w:r>
      <w:proofErr w:type="spellEnd"/>
      <w:r w:rsidRPr="00922DF9">
        <w:rPr>
          <w:lang w:val="en-US"/>
        </w:rPr>
        <w:t xml:space="preserve">, F., </w:t>
      </w:r>
      <w:proofErr w:type="spellStart"/>
      <w:r w:rsidRPr="00922DF9">
        <w:rPr>
          <w:lang w:val="en-US"/>
        </w:rPr>
        <w:t>Montrucchio</w:t>
      </w:r>
      <w:proofErr w:type="spellEnd"/>
      <w:r w:rsidRPr="00922DF9">
        <w:rPr>
          <w:lang w:val="en-US"/>
        </w:rPr>
        <w:t xml:space="preserve">, B., </w:t>
      </w:r>
      <w:proofErr w:type="spellStart"/>
      <w:r w:rsidRPr="00922DF9">
        <w:rPr>
          <w:lang w:val="en-US"/>
        </w:rPr>
        <w:t>Rebaudengo</w:t>
      </w:r>
      <w:proofErr w:type="spellEnd"/>
      <w:r w:rsidRPr="00922DF9">
        <w:rPr>
          <w:lang w:val="en-US"/>
        </w:rPr>
        <w:t>, M., &amp; Sanchez, E. R. (2009).</w:t>
      </w:r>
      <w:proofErr w:type="gramEnd"/>
      <w:r w:rsidRPr="00922DF9">
        <w:rPr>
          <w:lang w:val="en-US"/>
        </w:rPr>
        <w:t xml:space="preserve"> </w:t>
      </w:r>
      <w:proofErr w:type="gramStart"/>
      <w:r w:rsidRPr="00922DF9">
        <w:rPr>
          <w:lang w:val="en-US"/>
        </w:rPr>
        <w:t xml:space="preserve">On improving automation by integrating RFID in the traceability management of the </w:t>
      </w:r>
      <w:proofErr w:type="spellStart"/>
      <w:r w:rsidRPr="00922DF9">
        <w:rPr>
          <w:lang w:val="en-US"/>
        </w:rPr>
        <w:t>agri</w:t>
      </w:r>
      <w:proofErr w:type="spellEnd"/>
      <w:r w:rsidRPr="00922DF9">
        <w:rPr>
          <w:lang w:val="en-US"/>
        </w:rPr>
        <w:t>-food sector.</w:t>
      </w:r>
      <w:proofErr w:type="gramEnd"/>
      <w:r w:rsidRPr="00922DF9">
        <w:rPr>
          <w:lang w:val="en-US"/>
        </w:rPr>
        <w:t xml:space="preserve"> </w:t>
      </w:r>
      <w:proofErr w:type="gramStart"/>
      <w:r w:rsidRPr="00922DF9">
        <w:rPr>
          <w:lang w:val="en-US"/>
        </w:rPr>
        <w:t>IEEE Transactions on Industrial Electronics, 56(7), 2357–2365.</w:t>
      </w:r>
      <w:proofErr w:type="gramEnd"/>
    </w:p>
    <w:p w:rsidR="00893FC7" w:rsidRPr="00922DF9" w:rsidRDefault="00893FC7" w:rsidP="00893FC7">
      <w:pPr>
        <w:pStyle w:val="ae"/>
        <w:rPr>
          <w:lang w:val="en-US"/>
        </w:rPr>
      </w:pPr>
      <w:proofErr w:type="spellStart"/>
      <w:proofErr w:type="gramStart"/>
      <w:r w:rsidRPr="00922DF9">
        <w:rPr>
          <w:lang w:val="en-US"/>
        </w:rPr>
        <w:t>Giannakourou</w:t>
      </w:r>
      <w:proofErr w:type="spellEnd"/>
      <w:r w:rsidRPr="00922DF9">
        <w:rPr>
          <w:lang w:val="en-US"/>
        </w:rPr>
        <w:t xml:space="preserve">, M. C, &amp; </w:t>
      </w:r>
      <w:proofErr w:type="spellStart"/>
      <w:r w:rsidRPr="00922DF9">
        <w:rPr>
          <w:lang w:val="en-US"/>
        </w:rPr>
        <w:t>Taoukis</w:t>
      </w:r>
      <w:proofErr w:type="spellEnd"/>
      <w:r w:rsidRPr="00922DF9">
        <w:rPr>
          <w:lang w:val="en-US"/>
        </w:rPr>
        <w:t>, P. S. (2003).</w:t>
      </w:r>
      <w:proofErr w:type="gramEnd"/>
      <w:r w:rsidRPr="00922DF9">
        <w:rPr>
          <w:lang w:val="en-US"/>
        </w:rPr>
        <w:t xml:space="preserve"> </w:t>
      </w:r>
      <w:proofErr w:type="gramStart"/>
      <w:r w:rsidRPr="00922DF9">
        <w:rPr>
          <w:lang w:val="en-US"/>
        </w:rPr>
        <w:t>Kinetic modeling of vitamin c loss in frozen green vegetables under variable storage conditions.</w:t>
      </w:r>
      <w:proofErr w:type="gramEnd"/>
      <w:r w:rsidRPr="00922DF9">
        <w:rPr>
          <w:lang w:val="en-US"/>
        </w:rPr>
        <w:t xml:space="preserve"> Food Chemistry, 83(1), 33–41.</w:t>
      </w:r>
    </w:p>
    <w:p w:rsidR="00893FC7" w:rsidRPr="00922DF9" w:rsidRDefault="00893FC7" w:rsidP="00893FC7">
      <w:pPr>
        <w:pStyle w:val="ae"/>
        <w:rPr>
          <w:lang w:val="en-US"/>
        </w:rPr>
      </w:pPr>
      <w:proofErr w:type="spellStart"/>
      <w:proofErr w:type="gramStart"/>
      <w:r w:rsidRPr="00922DF9">
        <w:rPr>
          <w:lang w:val="en-US"/>
        </w:rPr>
        <w:t>Giannakourou</w:t>
      </w:r>
      <w:proofErr w:type="spellEnd"/>
      <w:r w:rsidRPr="00922DF9">
        <w:rPr>
          <w:lang w:val="en-US"/>
        </w:rPr>
        <w:t xml:space="preserve">, M. C., &amp; </w:t>
      </w:r>
      <w:proofErr w:type="spellStart"/>
      <w:r w:rsidRPr="00922DF9">
        <w:rPr>
          <w:lang w:val="en-US"/>
        </w:rPr>
        <w:t>Taoukis</w:t>
      </w:r>
      <w:proofErr w:type="spellEnd"/>
      <w:r w:rsidRPr="00922DF9">
        <w:rPr>
          <w:lang w:val="en-US"/>
        </w:rPr>
        <w:t>, P. S. (2003).</w:t>
      </w:r>
      <w:proofErr w:type="gramEnd"/>
      <w:r w:rsidRPr="00922DF9">
        <w:rPr>
          <w:lang w:val="en-US"/>
        </w:rPr>
        <w:t xml:space="preserve"> </w:t>
      </w:r>
      <w:proofErr w:type="gramStart"/>
      <w:r w:rsidRPr="00922DF9">
        <w:rPr>
          <w:lang w:val="en-US"/>
        </w:rPr>
        <w:t>Application of a TTI-based distribution management system for quality optimization of frozen vegetables at the consumer end.</w:t>
      </w:r>
      <w:proofErr w:type="gramEnd"/>
      <w:r w:rsidRPr="00922DF9">
        <w:rPr>
          <w:lang w:val="en-US"/>
        </w:rPr>
        <w:t xml:space="preserve"> Journal of Food Science, 68(1), 201–209.</w:t>
      </w:r>
    </w:p>
    <w:p w:rsidR="00893FC7" w:rsidRPr="00922DF9" w:rsidRDefault="00893FC7" w:rsidP="00893FC7">
      <w:pPr>
        <w:pStyle w:val="ae"/>
        <w:rPr>
          <w:lang w:val="en-US"/>
        </w:rPr>
      </w:pPr>
      <w:r w:rsidRPr="00922DF9">
        <w:rPr>
          <w:lang w:val="en-US"/>
        </w:rPr>
        <w:t>Gunasekaran</w:t>
      </w:r>
      <w:proofErr w:type="gramStart"/>
      <w:r w:rsidRPr="00922DF9">
        <w:rPr>
          <w:lang w:val="en-US"/>
        </w:rPr>
        <w:t>,A</w:t>
      </w:r>
      <w:proofErr w:type="gramEnd"/>
      <w:r w:rsidRPr="00922DF9">
        <w:rPr>
          <w:lang w:val="en-US"/>
        </w:rPr>
        <w:t>.,&amp;Ngai,E.W.T.(2004).Informationsystemsinsupplychainintegration and management. European Journal of Operations Research, 159, 269–295.</w:t>
      </w:r>
    </w:p>
    <w:p w:rsidR="00893FC7" w:rsidRPr="00922DF9" w:rsidRDefault="00893FC7" w:rsidP="00893FC7">
      <w:pPr>
        <w:pStyle w:val="ae"/>
        <w:rPr>
          <w:lang w:val="en-US"/>
        </w:rPr>
      </w:pPr>
      <w:proofErr w:type="spellStart"/>
      <w:proofErr w:type="gramStart"/>
      <w:r w:rsidRPr="00922DF9">
        <w:rPr>
          <w:lang w:val="en-US"/>
        </w:rPr>
        <w:t>Karlsen</w:t>
      </w:r>
      <w:proofErr w:type="spellEnd"/>
      <w:r w:rsidRPr="00922DF9">
        <w:rPr>
          <w:lang w:val="en-US"/>
        </w:rPr>
        <w:t>, K. M., Donnelly, K. A. -M., &amp; Olsen, P. (2011).</w:t>
      </w:r>
      <w:proofErr w:type="gramEnd"/>
      <w:r w:rsidRPr="00922DF9">
        <w:rPr>
          <w:lang w:val="en-US"/>
        </w:rPr>
        <w:t xml:space="preserve"> Granularity and its importance for traceability in a farmed salmon supply chain. Journal of Food Engineering, 102, 1–8.</w:t>
      </w:r>
    </w:p>
    <w:p w:rsidR="00893FC7" w:rsidRPr="00922DF9" w:rsidRDefault="00893FC7" w:rsidP="00893FC7">
      <w:pPr>
        <w:pStyle w:val="ae"/>
        <w:rPr>
          <w:lang w:val="en-US"/>
        </w:rPr>
      </w:pPr>
      <w:proofErr w:type="spellStart"/>
      <w:proofErr w:type="gramStart"/>
      <w:r w:rsidRPr="00922DF9">
        <w:rPr>
          <w:lang w:val="en-US"/>
        </w:rPr>
        <w:t>Karlsen</w:t>
      </w:r>
      <w:proofErr w:type="spellEnd"/>
      <w:r w:rsidRPr="00922DF9">
        <w:rPr>
          <w:lang w:val="en-US"/>
        </w:rPr>
        <w:t xml:space="preserve">, K. M., Dreyer, B., Olsen, P., &amp; </w:t>
      </w:r>
      <w:proofErr w:type="spellStart"/>
      <w:r w:rsidRPr="00922DF9">
        <w:rPr>
          <w:lang w:val="en-US"/>
        </w:rPr>
        <w:t>Elvevoll</w:t>
      </w:r>
      <w:proofErr w:type="spellEnd"/>
      <w:r w:rsidRPr="00922DF9">
        <w:rPr>
          <w:lang w:val="en-US"/>
        </w:rPr>
        <w:t>, E. O. (2012).</w:t>
      </w:r>
      <w:proofErr w:type="gramEnd"/>
      <w:r w:rsidRPr="00922DF9">
        <w:rPr>
          <w:lang w:val="en-US"/>
        </w:rPr>
        <w:t xml:space="preserve"> </w:t>
      </w:r>
      <w:proofErr w:type="gramStart"/>
      <w:r w:rsidRPr="00922DF9">
        <w:rPr>
          <w:lang w:val="en-US"/>
        </w:rPr>
        <w:t>Granularity and its role in implementation of seafood traceability.</w:t>
      </w:r>
      <w:proofErr w:type="gramEnd"/>
      <w:r w:rsidRPr="00922DF9">
        <w:rPr>
          <w:lang w:val="en-US"/>
        </w:rPr>
        <w:t xml:space="preserve"> Journal of Food Engineering, 112, 78–85.</w:t>
      </w:r>
    </w:p>
    <w:p w:rsidR="00893FC7" w:rsidRPr="00922DF9" w:rsidRDefault="00893FC7" w:rsidP="00893FC7">
      <w:pPr>
        <w:pStyle w:val="ae"/>
        <w:rPr>
          <w:lang w:val="en-US"/>
        </w:rPr>
      </w:pPr>
      <w:proofErr w:type="gramStart"/>
      <w:r w:rsidRPr="00922DF9">
        <w:rPr>
          <w:lang w:val="en-US"/>
        </w:rPr>
        <w:t xml:space="preserve">Liu, L., </w:t>
      </w:r>
      <w:proofErr w:type="spellStart"/>
      <w:r w:rsidRPr="00922DF9">
        <w:rPr>
          <w:lang w:val="en-US"/>
        </w:rPr>
        <w:t>Kakihara</w:t>
      </w:r>
      <w:proofErr w:type="spellEnd"/>
      <w:r w:rsidRPr="00922DF9">
        <w:rPr>
          <w:lang w:val="en-US"/>
        </w:rPr>
        <w:t>, F., &amp; Kato, M. (2004).</w:t>
      </w:r>
      <w:proofErr w:type="gramEnd"/>
      <w:r w:rsidRPr="00922DF9">
        <w:rPr>
          <w:lang w:val="en-US"/>
        </w:rPr>
        <w:t xml:space="preserve"> Ethylene changes during development and of fruit with reference to variety of </w:t>
      </w:r>
      <w:proofErr w:type="spellStart"/>
      <w:r w:rsidRPr="00922DF9">
        <w:rPr>
          <w:lang w:val="en-US"/>
        </w:rPr>
        <w:t>Cocumis</w:t>
      </w:r>
      <w:proofErr w:type="spellEnd"/>
      <w:r w:rsidRPr="00922DF9">
        <w:rPr>
          <w:lang w:val="en-US"/>
        </w:rPr>
        <w:t xml:space="preserve"> </w:t>
      </w:r>
      <w:proofErr w:type="spellStart"/>
      <w:r w:rsidRPr="00922DF9">
        <w:rPr>
          <w:lang w:val="en-US"/>
        </w:rPr>
        <w:t>melo</w:t>
      </w:r>
      <w:proofErr w:type="spellEnd"/>
      <w:r w:rsidRPr="00922DF9">
        <w:rPr>
          <w:lang w:val="en-US"/>
        </w:rPr>
        <w:t xml:space="preserve"> L. Breeding Science, 54, 297–300.</w:t>
      </w:r>
    </w:p>
    <w:p w:rsidR="00893FC7" w:rsidRPr="00922DF9" w:rsidRDefault="00893FC7" w:rsidP="00893FC7">
      <w:pPr>
        <w:pStyle w:val="ae"/>
        <w:rPr>
          <w:lang w:val="en-US"/>
        </w:rPr>
      </w:pPr>
      <w:proofErr w:type="spellStart"/>
      <w:proofErr w:type="gramStart"/>
      <w:r w:rsidRPr="00922DF9">
        <w:rPr>
          <w:lang w:val="en-US"/>
        </w:rPr>
        <w:t>Mishra</w:t>
      </w:r>
      <w:proofErr w:type="spellEnd"/>
      <w:r w:rsidRPr="00922DF9">
        <w:rPr>
          <w:lang w:val="en-US"/>
        </w:rPr>
        <w:t>, P., &amp; Shah, N. (2008).</w:t>
      </w:r>
      <w:proofErr w:type="gramEnd"/>
      <w:r w:rsidRPr="00922DF9">
        <w:rPr>
          <w:lang w:val="en-US"/>
        </w:rPr>
        <w:t xml:space="preserve"> </w:t>
      </w:r>
      <w:proofErr w:type="gramStart"/>
      <w:r w:rsidRPr="00922DF9">
        <w:rPr>
          <w:lang w:val="en-US"/>
        </w:rPr>
        <w:t>Inventory management of time dependent deteriorating items with salvage value.</w:t>
      </w:r>
      <w:proofErr w:type="gramEnd"/>
      <w:r w:rsidRPr="00922DF9">
        <w:rPr>
          <w:lang w:val="en-US"/>
        </w:rPr>
        <w:t xml:space="preserve"> Applied Mathematical Sciences, 2(16), 793–798.</w:t>
      </w:r>
    </w:p>
    <w:p w:rsidR="00893FC7" w:rsidRPr="00922DF9" w:rsidRDefault="00893FC7" w:rsidP="00893FC7">
      <w:pPr>
        <w:pStyle w:val="ae"/>
        <w:rPr>
          <w:lang w:val="en-US"/>
        </w:rPr>
      </w:pPr>
      <w:proofErr w:type="gramStart"/>
      <w:r w:rsidRPr="00922DF9">
        <w:rPr>
          <w:lang w:val="en-US"/>
        </w:rPr>
        <w:t>Ogasawara, A., &amp; Yamasaki, K. (2006).</w:t>
      </w:r>
      <w:proofErr w:type="gramEnd"/>
      <w:r w:rsidRPr="00922DF9">
        <w:rPr>
          <w:lang w:val="en-US"/>
        </w:rPr>
        <w:t xml:space="preserve"> A temperature-managed traceability system using RFID tags with embedded temperature sensors. NEC Technical Journal, 1(2), 82–86.</w:t>
      </w:r>
    </w:p>
    <w:p w:rsidR="00893FC7" w:rsidRPr="00922DF9" w:rsidRDefault="00893FC7" w:rsidP="00893FC7">
      <w:pPr>
        <w:pStyle w:val="ae"/>
        <w:rPr>
          <w:lang w:val="en-US"/>
        </w:rPr>
      </w:pPr>
      <w:proofErr w:type="spellStart"/>
      <w:r w:rsidRPr="00922DF9">
        <w:rPr>
          <w:lang w:val="en-US"/>
        </w:rPr>
        <w:t>Opara</w:t>
      </w:r>
      <w:proofErr w:type="spellEnd"/>
      <w:r w:rsidRPr="00922DF9">
        <w:rPr>
          <w:lang w:val="en-US"/>
        </w:rPr>
        <w:t>, L. U. (2004). Traceability in agriculture and food supply chain: A review of basic concepts, technological implications, and future prospects. European Journal of Operational Research, 159, 269–295.</w:t>
      </w:r>
    </w:p>
    <w:p w:rsidR="00893FC7" w:rsidRPr="00922DF9" w:rsidRDefault="00893FC7" w:rsidP="00893FC7">
      <w:pPr>
        <w:pStyle w:val="ae"/>
        <w:rPr>
          <w:lang w:val="en-US"/>
        </w:rPr>
      </w:pPr>
      <w:proofErr w:type="gramStart"/>
      <w:r w:rsidRPr="00922DF9">
        <w:rPr>
          <w:lang w:val="en-US"/>
        </w:rPr>
        <w:lastRenderedPageBreak/>
        <w:t xml:space="preserve">Piazzi, P., </w:t>
      </w:r>
      <w:proofErr w:type="spellStart"/>
      <w:r w:rsidRPr="00922DF9">
        <w:rPr>
          <w:lang w:val="en-US"/>
        </w:rPr>
        <w:t>Adami</w:t>
      </w:r>
      <w:proofErr w:type="spellEnd"/>
      <w:r w:rsidRPr="00922DF9">
        <w:rPr>
          <w:lang w:val="en-US"/>
        </w:rPr>
        <w:t xml:space="preserve">, S., </w:t>
      </w:r>
      <w:proofErr w:type="spellStart"/>
      <w:r w:rsidRPr="00922DF9">
        <w:rPr>
          <w:lang w:val="en-US"/>
        </w:rPr>
        <w:t>Bortolini</w:t>
      </w:r>
      <w:proofErr w:type="spellEnd"/>
      <w:r w:rsidRPr="00922DF9">
        <w:rPr>
          <w:lang w:val="en-US"/>
        </w:rPr>
        <w:t xml:space="preserve">, M., </w:t>
      </w:r>
      <w:proofErr w:type="spellStart"/>
      <w:r w:rsidRPr="00922DF9">
        <w:rPr>
          <w:lang w:val="en-US"/>
        </w:rPr>
        <w:t>Gamberi</w:t>
      </w:r>
      <w:proofErr w:type="spellEnd"/>
      <w:r w:rsidRPr="00922DF9">
        <w:rPr>
          <w:lang w:val="en-US"/>
        </w:rPr>
        <w:t xml:space="preserve">, M., </w:t>
      </w:r>
      <w:proofErr w:type="spellStart"/>
      <w:r w:rsidRPr="00922DF9">
        <w:rPr>
          <w:lang w:val="en-US"/>
        </w:rPr>
        <w:t>Accorsi</w:t>
      </w:r>
      <w:proofErr w:type="spellEnd"/>
      <w:r w:rsidRPr="00922DF9">
        <w:rPr>
          <w:lang w:val="en-US"/>
        </w:rPr>
        <w:t xml:space="preserve">, R., &amp; </w:t>
      </w:r>
      <w:proofErr w:type="spellStart"/>
      <w:r w:rsidRPr="00922DF9">
        <w:rPr>
          <w:lang w:val="en-US"/>
        </w:rPr>
        <w:t>Manzini</w:t>
      </w:r>
      <w:proofErr w:type="spellEnd"/>
      <w:r w:rsidRPr="00922DF9">
        <w:rPr>
          <w:lang w:val="en-US"/>
        </w:rPr>
        <w:t>, R. (2011).</w:t>
      </w:r>
      <w:proofErr w:type="gramEnd"/>
      <w:r w:rsidRPr="00922DF9">
        <w:rPr>
          <w:lang w:val="en-US"/>
        </w:rPr>
        <w:t xml:space="preserve"> Design, development and test of a vibration monitoring embedded system. In M. </w:t>
      </w:r>
      <w:proofErr w:type="spellStart"/>
      <w:r w:rsidRPr="00922DF9">
        <w:rPr>
          <w:lang w:val="en-US"/>
        </w:rPr>
        <w:t>Riccardo</w:t>
      </w:r>
      <w:proofErr w:type="spellEnd"/>
      <w:r w:rsidRPr="00922DF9">
        <w:rPr>
          <w:lang w:val="en-US"/>
        </w:rPr>
        <w:t xml:space="preserve">, A. </w:t>
      </w:r>
      <w:proofErr w:type="spellStart"/>
      <w:r w:rsidRPr="00922DF9">
        <w:rPr>
          <w:lang w:val="en-US"/>
        </w:rPr>
        <w:t>Riccardo</w:t>
      </w:r>
      <w:proofErr w:type="spellEnd"/>
      <w:r w:rsidRPr="00922DF9">
        <w:rPr>
          <w:lang w:val="en-US"/>
        </w:rPr>
        <w:t xml:space="preserve">, &amp; B. Marco </w:t>
      </w:r>
    </w:p>
    <w:p w:rsidR="00893FC7" w:rsidRPr="00922DF9" w:rsidRDefault="00893FC7" w:rsidP="00893FC7">
      <w:pPr>
        <w:pStyle w:val="ae"/>
        <w:rPr>
          <w:lang w:val="en-US"/>
        </w:rPr>
      </w:pPr>
      <w:proofErr w:type="spellStart"/>
      <w:r w:rsidRPr="00922DF9">
        <w:rPr>
          <w:lang w:val="en-US"/>
        </w:rPr>
        <w:t>Puligundla</w:t>
      </w:r>
      <w:proofErr w:type="spellEnd"/>
      <w:r w:rsidRPr="00922DF9">
        <w:rPr>
          <w:lang w:val="en-US"/>
        </w:rPr>
        <w:t xml:space="preserve">, P., Jung, J., &amp; </w:t>
      </w:r>
      <w:proofErr w:type="spellStart"/>
      <w:proofErr w:type="gramStart"/>
      <w:r w:rsidRPr="00922DF9">
        <w:rPr>
          <w:lang w:val="en-US"/>
        </w:rPr>
        <w:t>Ko</w:t>
      </w:r>
      <w:proofErr w:type="spellEnd"/>
      <w:proofErr w:type="gramEnd"/>
      <w:r w:rsidRPr="00922DF9">
        <w:rPr>
          <w:lang w:val="en-US"/>
        </w:rPr>
        <w:t xml:space="preserve">, S. (2012). </w:t>
      </w:r>
      <w:proofErr w:type="gramStart"/>
      <w:r w:rsidRPr="00922DF9">
        <w:rPr>
          <w:lang w:val="en-US"/>
        </w:rPr>
        <w:t>Carbon dioxide sensors for intelligent food packaging applications.</w:t>
      </w:r>
      <w:proofErr w:type="gramEnd"/>
      <w:r w:rsidRPr="00922DF9">
        <w:rPr>
          <w:lang w:val="en-US"/>
        </w:rPr>
        <w:t xml:space="preserve"> Food Control, 25(1), 328–333.</w:t>
      </w:r>
    </w:p>
    <w:p w:rsidR="00893FC7" w:rsidRPr="00922DF9" w:rsidRDefault="00893FC7" w:rsidP="00893FC7">
      <w:pPr>
        <w:pStyle w:val="ae"/>
        <w:rPr>
          <w:lang w:val="en-US"/>
        </w:rPr>
      </w:pPr>
      <w:proofErr w:type="spellStart"/>
      <w:proofErr w:type="gramStart"/>
      <w:r w:rsidRPr="00922DF9">
        <w:rPr>
          <w:lang w:val="en-US"/>
        </w:rPr>
        <w:t>Raghuram</w:t>
      </w:r>
      <w:proofErr w:type="spellEnd"/>
      <w:r w:rsidRPr="00922DF9">
        <w:rPr>
          <w:lang w:val="en-US"/>
        </w:rPr>
        <w:t xml:space="preserve">, G., &amp; </w:t>
      </w:r>
      <w:proofErr w:type="spellStart"/>
      <w:r w:rsidRPr="00922DF9">
        <w:rPr>
          <w:lang w:val="en-US"/>
        </w:rPr>
        <w:t>Rangaraj</w:t>
      </w:r>
      <w:proofErr w:type="spellEnd"/>
      <w:r w:rsidRPr="00922DF9">
        <w:rPr>
          <w:lang w:val="en-US"/>
        </w:rPr>
        <w:t>, N. (2003).</w:t>
      </w:r>
      <w:proofErr w:type="gramEnd"/>
      <w:r w:rsidRPr="00922DF9">
        <w:rPr>
          <w:lang w:val="en-US"/>
        </w:rPr>
        <w:t xml:space="preserve"> Logistics and supply chain management: Cases and concepts. New Delhi: Macmillan India.</w:t>
      </w:r>
    </w:p>
    <w:p w:rsidR="00893FC7" w:rsidRPr="00922DF9" w:rsidRDefault="00893FC7" w:rsidP="00893FC7">
      <w:pPr>
        <w:pStyle w:val="ae"/>
        <w:rPr>
          <w:lang w:val="en-US"/>
        </w:rPr>
      </w:pPr>
      <w:proofErr w:type="gramStart"/>
      <w:r w:rsidRPr="00922DF9">
        <w:rPr>
          <w:lang w:val="en-US"/>
        </w:rPr>
        <w:t>Regulation (EC).</w:t>
      </w:r>
      <w:proofErr w:type="gramEnd"/>
      <w:r w:rsidRPr="00922DF9">
        <w:rPr>
          <w:lang w:val="en-US"/>
        </w:rPr>
        <w:t xml:space="preserve"> </w:t>
      </w:r>
      <w:proofErr w:type="gramStart"/>
      <w:r w:rsidRPr="00922DF9">
        <w:rPr>
          <w:lang w:val="en-US"/>
        </w:rPr>
        <w:t>(2002). No. 178/2002 of the European parliament and of the council of January 28, 2002, Ch. V.</w:t>
      </w:r>
      <w:proofErr w:type="gramEnd"/>
    </w:p>
    <w:p w:rsidR="00893FC7" w:rsidRPr="00922DF9" w:rsidRDefault="00893FC7" w:rsidP="00893FC7">
      <w:pPr>
        <w:pStyle w:val="ae"/>
        <w:rPr>
          <w:lang w:val="en-US"/>
        </w:rPr>
      </w:pPr>
    </w:p>
    <w:p w:rsidR="00893FC7" w:rsidRPr="00F14840" w:rsidRDefault="00893FC7" w:rsidP="00893FC7">
      <w:pPr>
        <w:pStyle w:val="ae"/>
        <w:rPr>
          <w:lang w:val="en-US"/>
        </w:rPr>
      </w:pPr>
    </w:p>
    <w:p w:rsidR="00BF3639" w:rsidRPr="00893FC7" w:rsidRDefault="00BF3639" w:rsidP="00893FC7">
      <w:pPr>
        <w:pStyle w:val="ae"/>
        <w:rPr>
          <w:lang w:val="en-US"/>
        </w:rPr>
      </w:pPr>
    </w:p>
    <w:sectPr w:rsidR="00BF3639" w:rsidRPr="00893FC7" w:rsidSect="002A267C">
      <w:footerReference w:type="default" r:id="rId11"/>
      <w:footerReference w:type="first" r:id="rId12"/>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361A" w:rsidRDefault="003E361A" w:rsidP="00CE1201">
      <w:r>
        <w:separator/>
      </w:r>
    </w:p>
  </w:endnote>
  <w:endnote w:type="continuationSeparator" w:id="0">
    <w:p w:rsidR="003E361A" w:rsidRDefault="003E361A" w:rsidP="00CE12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1892436"/>
      <w:docPartObj>
        <w:docPartGallery w:val="Page Numbers (Bottom of Page)"/>
        <w:docPartUnique/>
      </w:docPartObj>
    </w:sdtPr>
    <w:sdtContent>
      <w:p w:rsidR="002D5057" w:rsidRDefault="00785D07">
        <w:pPr>
          <w:pStyle w:val="afc"/>
          <w:jc w:val="center"/>
        </w:pPr>
        <w:r>
          <w:fldChar w:fldCharType="begin"/>
        </w:r>
        <w:r w:rsidR="002D5057">
          <w:instrText>PAGE   \* MERGEFORMAT</w:instrText>
        </w:r>
        <w:r>
          <w:fldChar w:fldCharType="separate"/>
        </w:r>
        <w:r w:rsidR="001B5266">
          <w:rPr>
            <w:noProof/>
          </w:rPr>
          <w:t>6</w:t>
        </w:r>
        <w:r>
          <w:fldChar w:fldCharType="end"/>
        </w:r>
      </w:p>
    </w:sdtContent>
  </w:sdt>
  <w:p w:rsidR="002D5057" w:rsidRDefault="002D5057">
    <w:pPr>
      <w:pStyle w:val="af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0963527"/>
      <w:docPartObj>
        <w:docPartGallery w:val="Page Numbers (Bottom of Page)"/>
        <w:docPartUnique/>
      </w:docPartObj>
    </w:sdtPr>
    <w:sdtContent>
      <w:p w:rsidR="002D5057" w:rsidRDefault="00785D07">
        <w:pPr>
          <w:pStyle w:val="afc"/>
          <w:jc w:val="center"/>
        </w:pPr>
      </w:p>
    </w:sdtContent>
  </w:sdt>
  <w:p w:rsidR="002D5057" w:rsidRDefault="002D5057">
    <w:pPr>
      <w:pStyle w:val="af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361A" w:rsidRDefault="003E361A" w:rsidP="00CE1201">
      <w:r>
        <w:separator/>
      </w:r>
    </w:p>
  </w:footnote>
  <w:footnote w:type="continuationSeparator" w:id="0">
    <w:p w:rsidR="003E361A" w:rsidRDefault="003E361A" w:rsidP="00CE12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3A0DB5C"/>
    <w:lvl w:ilvl="0">
      <w:start w:val="1"/>
      <w:numFmt w:val="decimal"/>
      <w:lvlText w:val="%1."/>
      <w:lvlJc w:val="left"/>
      <w:pPr>
        <w:tabs>
          <w:tab w:val="num" w:pos="1492"/>
        </w:tabs>
        <w:ind w:left="1492" w:hanging="360"/>
      </w:pPr>
    </w:lvl>
  </w:abstractNum>
  <w:abstractNum w:abstractNumId="1">
    <w:nsid w:val="FFFFFF7D"/>
    <w:multiLevelType w:val="singleLevel"/>
    <w:tmpl w:val="EB20AFAC"/>
    <w:lvl w:ilvl="0">
      <w:start w:val="1"/>
      <w:numFmt w:val="decimal"/>
      <w:lvlText w:val="%1."/>
      <w:lvlJc w:val="left"/>
      <w:pPr>
        <w:tabs>
          <w:tab w:val="num" w:pos="1209"/>
        </w:tabs>
        <w:ind w:left="1209" w:hanging="360"/>
      </w:pPr>
    </w:lvl>
  </w:abstractNum>
  <w:abstractNum w:abstractNumId="2">
    <w:nsid w:val="FFFFFF7E"/>
    <w:multiLevelType w:val="singleLevel"/>
    <w:tmpl w:val="EF262D9A"/>
    <w:lvl w:ilvl="0">
      <w:start w:val="1"/>
      <w:numFmt w:val="decimal"/>
      <w:lvlText w:val="%1."/>
      <w:lvlJc w:val="left"/>
      <w:pPr>
        <w:tabs>
          <w:tab w:val="num" w:pos="926"/>
        </w:tabs>
        <w:ind w:left="926" w:hanging="360"/>
      </w:pPr>
    </w:lvl>
  </w:abstractNum>
  <w:abstractNum w:abstractNumId="3">
    <w:nsid w:val="FFFFFF7F"/>
    <w:multiLevelType w:val="singleLevel"/>
    <w:tmpl w:val="07046632"/>
    <w:lvl w:ilvl="0">
      <w:start w:val="1"/>
      <w:numFmt w:val="decimal"/>
      <w:lvlText w:val="%1."/>
      <w:lvlJc w:val="left"/>
      <w:pPr>
        <w:tabs>
          <w:tab w:val="num" w:pos="643"/>
        </w:tabs>
        <w:ind w:left="643" w:hanging="360"/>
      </w:pPr>
    </w:lvl>
  </w:abstractNum>
  <w:abstractNum w:abstractNumId="4">
    <w:nsid w:val="FFFFFF80"/>
    <w:multiLevelType w:val="singleLevel"/>
    <w:tmpl w:val="35489CE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B3A335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780238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04AD0D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8A29D4"/>
    <w:lvl w:ilvl="0">
      <w:start w:val="1"/>
      <w:numFmt w:val="decimal"/>
      <w:lvlText w:val="%1."/>
      <w:lvlJc w:val="left"/>
      <w:pPr>
        <w:tabs>
          <w:tab w:val="num" w:pos="360"/>
        </w:tabs>
        <w:ind w:left="360" w:hanging="360"/>
      </w:pPr>
    </w:lvl>
  </w:abstractNum>
  <w:abstractNum w:abstractNumId="9">
    <w:nsid w:val="FFFFFF89"/>
    <w:multiLevelType w:val="singleLevel"/>
    <w:tmpl w:val="022CC720"/>
    <w:lvl w:ilvl="0">
      <w:start w:val="1"/>
      <w:numFmt w:val="bullet"/>
      <w:lvlText w:val=""/>
      <w:lvlJc w:val="left"/>
      <w:pPr>
        <w:tabs>
          <w:tab w:val="num" w:pos="360"/>
        </w:tabs>
        <w:ind w:left="360" w:hanging="360"/>
      </w:pPr>
      <w:rPr>
        <w:rFonts w:ascii="Symbol" w:hAnsi="Symbol" w:hint="default"/>
      </w:rPr>
    </w:lvl>
  </w:abstractNum>
  <w:abstractNum w:abstractNumId="10">
    <w:nsid w:val="0BE75C33"/>
    <w:multiLevelType w:val="hybridMultilevel"/>
    <w:tmpl w:val="05480336"/>
    <w:lvl w:ilvl="0" w:tplc="8BC45528">
      <w:start w:val="1"/>
      <w:numFmt w:val="decimal"/>
      <w:pStyle w:val="a"/>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19F21CA8"/>
    <w:multiLevelType w:val="hybridMultilevel"/>
    <w:tmpl w:val="01546B18"/>
    <w:lvl w:ilvl="0" w:tplc="BCC088B4">
      <w:start w:val="1"/>
      <w:numFmt w:val="decimal"/>
      <w:lvlText w:val="%1)"/>
      <w:lvlJc w:val="left"/>
      <w:pPr>
        <w:ind w:left="1495"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2">
    <w:nsid w:val="214C1A7C"/>
    <w:multiLevelType w:val="hybridMultilevel"/>
    <w:tmpl w:val="A9C6B654"/>
    <w:lvl w:ilvl="0" w:tplc="7EC49ED4">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23C86C4B"/>
    <w:multiLevelType w:val="hybridMultilevel"/>
    <w:tmpl w:val="2C7277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940761"/>
    <w:multiLevelType w:val="hybridMultilevel"/>
    <w:tmpl w:val="9686FFA0"/>
    <w:lvl w:ilvl="0" w:tplc="19B20838">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3C7060AD"/>
    <w:multiLevelType w:val="hybridMultilevel"/>
    <w:tmpl w:val="073CEFFA"/>
    <w:lvl w:ilvl="0" w:tplc="1DFA60A0">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37E71DA"/>
    <w:multiLevelType w:val="hybridMultilevel"/>
    <w:tmpl w:val="375C3876"/>
    <w:lvl w:ilvl="0" w:tplc="76680A26">
      <w:start w:val="1"/>
      <w:numFmt w:val="bullet"/>
      <w:pStyle w:val="a0"/>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480D5E2D"/>
    <w:multiLevelType w:val="hybridMultilevel"/>
    <w:tmpl w:val="E000F180"/>
    <w:lvl w:ilvl="0" w:tplc="5C7EDD2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496A29DA"/>
    <w:multiLevelType w:val="multilevel"/>
    <w:tmpl w:val="19AA0DBE"/>
    <w:lvl w:ilvl="0">
      <w:start w:val="1"/>
      <w:numFmt w:val="decimal"/>
      <w:pStyle w:val="1"/>
      <w:lvlText w:val="%1"/>
      <w:lvlJc w:val="left"/>
      <w:pPr>
        <w:ind w:left="432" w:hanging="432"/>
      </w:pPr>
    </w:lvl>
    <w:lvl w:ilvl="1">
      <w:start w:val="1"/>
      <w:numFmt w:val="decimal"/>
      <w:pStyle w:val="2"/>
      <w:lvlText w:val="%1.%2"/>
      <w:lvlJc w:val="left"/>
      <w:pPr>
        <w:ind w:left="4121"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nsid w:val="4B123415"/>
    <w:multiLevelType w:val="hybridMultilevel"/>
    <w:tmpl w:val="B658E08C"/>
    <w:lvl w:ilvl="0" w:tplc="F6B64132">
      <w:start w:val="1"/>
      <w:numFmt w:val="decimal"/>
      <w:pStyle w:val="a1"/>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0CF53D9"/>
    <w:multiLevelType w:val="multilevel"/>
    <w:tmpl w:val="94B445E0"/>
    <w:lvl w:ilvl="0">
      <w:start w:val="1"/>
      <w:numFmt w:val="bullet"/>
      <w:lvlText w:val=""/>
      <w:lvlJc w:val="left"/>
      <w:pPr>
        <w:ind w:left="720" w:hanging="360"/>
      </w:pPr>
      <w:rPr>
        <w:rFonts w:ascii="Symbol" w:hAnsi="Symbol"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1">
    <w:nsid w:val="512D724E"/>
    <w:multiLevelType w:val="multilevel"/>
    <w:tmpl w:val="CBEE0448"/>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2">
    <w:nsid w:val="707C105E"/>
    <w:multiLevelType w:val="hybridMultilevel"/>
    <w:tmpl w:val="AD369602"/>
    <w:lvl w:ilvl="0" w:tplc="91200684">
      <w:start w:val="1"/>
      <w:numFmt w:val="bullet"/>
      <w:lvlText w:val=""/>
      <w:lvlJc w:val="left"/>
      <w:pPr>
        <w:ind w:left="1494"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nsid w:val="73717B5C"/>
    <w:multiLevelType w:val="hybridMultilevel"/>
    <w:tmpl w:val="AA4C93DC"/>
    <w:lvl w:ilvl="0" w:tplc="BB8C955E">
      <w:start w:val="6"/>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24">
    <w:nsid w:val="7D673278"/>
    <w:multiLevelType w:val="multilevel"/>
    <w:tmpl w:val="A98ABBE0"/>
    <w:lvl w:ilvl="0">
      <w:start w:val="1"/>
      <w:numFmt w:val="russianLower"/>
      <w:pStyle w:val="a2"/>
      <w:lvlText w:val="%1)"/>
      <w:lvlJc w:val="left"/>
      <w:pPr>
        <w:tabs>
          <w:tab w:val="num" w:pos="992"/>
        </w:tabs>
        <w:ind w:left="0" w:firstLine="709"/>
      </w:pPr>
      <w:rPr>
        <w:rFonts w:hint="default"/>
      </w:rPr>
    </w:lvl>
    <w:lvl w:ilvl="1">
      <w:start w:val="1"/>
      <w:numFmt w:val="decimal"/>
      <w:lvlText w:val="%2)"/>
      <w:lvlJc w:val="left"/>
      <w:pPr>
        <w:tabs>
          <w:tab w:val="num" w:pos="1701"/>
        </w:tabs>
        <w:ind w:left="709" w:firstLine="709"/>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7D7B28EC"/>
    <w:multiLevelType w:val="hybridMultilevel"/>
    <w:tmpl w:val="5D7CD534"/>
    <w:lvl w:ilvl="0" w:tplc="BE4CDC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5"/>
  </w:num>
  <w:num w:numId="2">
    <w:abstractNumId w:val="12"/>
  </w:num>
  <w:num w:numId="3">
    <w:abstractNumId w:val="13"/>
  </w:num>
  <w:num w:numId="4">
    <w:abstractNumId w:val="15"/>
  </w:num>
  <w:num w:numId="5">
    <w:abstractNumId w:val="21"/>
  </w:num>
  <w:num w:numId="6">
    <w:abstractNumId w:val="20"/>
  </w:num>
  <w:num w:numId="7">
    <w:abstractNumId w:val="22"/>
  </w:num>
  <w:num w:numId="8">
    <w:abstractNumId w:val="11"/>
  </w:num>
  <w:num w:numId="9">
    <w:abstractNumId w:val="17"/>
  </w:num>
  <w:num w:numId="10">
    <w:abstractNumId w:val="18"/>
  </w:num>
  <w:num w:numId="11">
    <w:abstractNumId w:val="18"/>
  </w:num>
  <w:num w:numId="12">
    <w:abstractNumId w:val="16"/>
  </w:num>
  <w:num w:numId="13">
    <w:abstractNumId w:val="10"/>
  </w:num>
  <w:num w:numId="14">
    <w:abstractNumId w:val="10"/>
    <w:lvlOverride w:ilvl="0">
      <w:startOverride w:val="1"/>
    </w:lvlOverride>
  </w:num>
  <w:num w:numId="15">
    <w:abstractNumId w:val="10"/>
    <w:lvlOverride w:ilvl="0">
      <w:lvl w:ilvl="0" w:tplc="8BC45528">
        <w:start w:val="1"/>
        <w:numFmt w:val="decimal"/>
        <w:pStyle w:val="a"/>
        <w:lvlText w:val="%1)"/>
        <w:lvlJc w:val="left"/>
        <w:pPr>
          <w:tabs>
            <w:tab w:val="num" w:pos="992"/>
          </w:tabs>
          <w:ind w:left="0" w:firstLine="709"/>
        </w:pPr>
        <w:rPr>
          <w:rFonts w:hint="default"/>
        </w:rPr>
      </w:lvl>
    </w:lvlOverride>
    <w:lvlOverride w:ilvl="1">
      <w:lvl w:ilvl="1" w:tplc="04190003"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16">
    <w:abstractNumId w:val="10"/>
    <w:lvlOverride w:ilvl="0">
      <w:startOverride w:val="1"/>
      <w:lvl w:ilvl="0" w:tplc="8BC45528">
        <w:start w:val="1"/>
        <w:numFmt w:val="decimal"/>
        <w:pStyle w:val="a"/>
        <w:lvlText w:val="%1)"/>
        <w:lvlJc w:val="left"/>
        <w:pPr>
          <w:tabs>
            <w:tab w:val="num" w:pos="992"/>
          </w:tabs>
          <w:ind w:left="0" w:firstLine="709"/>
        </w:pPr>
        <w:rPr>
          <w:rFonts w:hint="default"/>
        </w:rPr>
      </w:lvl>
    </w:lvlOverride>
  </w:num>
  <w:num w:numId="17">
    <w:abstractNumId w:val="10"/>
    <w:lvlOverride w:ilvl="0">
      <w:startOverride w:val="1"/>
      <w:lvl w:ilvl="0" w:tplc="8BC45528">
        <w:start w:val="1"/>
        <w:numFmt w:val="decimal"/>
        <w:pStyle w:val="a"/>
        <w:lvlText w:val="%1)"/>
        <w:lvlJc w:val="left"/>
        <w:pPr>
          <w:tabs>
            <w:tab w:val="num" w:pos="992"/>
          </w:tabs>
          <w:ind w:left="0" w:firstLine="709"/>
        </w:pPr>
        <w:rPr>
          <w:rFonts w:hint="default"/>
        </w:rPr>
      </w:lvl>
    </w:lvlOverride>
  </w:num>
  <w:num w:numId="18">
    <w:abstractNumId w:val="24"/>
  </w:num>
  <w:num w:numId="19">
    <w:abstractNumId w:val="10"/>
    <w:lvlOverride w:ilvl="0">
      <w:startOverride w:val="1"/>
      <w:lvl w:ilvl="0" w:tplc="8BC45528">
        <w:start w:val="1"/>
        <w:numFmt w:val="decimal"/>
        <w:pStyle w:val="a"/>
        <w:lvlText w:val="%1)"/>
        <w:lvlJc w:val="left"/>
        <w:pPr>
          <w:tabs>
            <w:tab w:val="num" w:pos="992"/>
          </w:tabs>
          <w:ind w:left="0" w:firstLine="709"/>
        </w:pPr>
        <w:rPr>
          <w:rFonts w:hint="default"/>
        </w:rPr>
      </w:lvl>
    </w:lvlOverride>
  </w:num>
  <w:num w:numId="20">
    <w:abstractNumId w:val="10"/>
    <w:lvlOverride w:ilvl="0">
      <w:lvl w:ilvl="0" w:tplc="8BC45528">
        <w:start w:val="1"/>
        <w:numFmt w:val="decimal"/>
        <w:pStyle w:val="a"/>
        <w:lvlText w:val="%1)"/>
        <w:lvlJc w:val="left"/>
        <w:pPr>
          <w:tabs>
            <w:tab w:val="num" w:pos="992"/>
          </w:tabs>
          <w:ind w:left="0" w:firstLine="709"/>
        </w:pPr>
        <w:rPr>
          <w:rFonts w:hint="default"/>
        </w:rPr>
      </w:lvl>
    </w:lvlOverride>
    <w:lvlOverride w:ilvl="1">
      <w:lvl w:ilvl="1" w:tplc="04190003"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21">
    <w:abstractNumId w:val="10"/>
    <w:lvlOverride w:ilvl="0">
      <w:startOverride w:val="1"/>
      <w:lvl w:ilvl="0" w:tplc="8BC45528">
        <w:start w:val="1"/>
        <w:numFmt w:val="decimal"/>
        <w:pStyle w:val="a"/>
        <w:lvlText w:val="%1"/>
        <w:lvlJc w:val="left"/>
        <w:pPr>
          <w:ind w:left="1069" w:hanging="360"/>
        </w:pPr>
        <w:rPr>
          <w:rFonts w:hint="default"/>
          <w:lang w:val="ru-RU"/>
        </w:rPr>
      </w:lvl>
    </w:lvlOverride>
  </w:num>
  <w:num w:numId="22">
    <w:abstractNumId w:val="19"/>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14"/>
  </w:num>
  <w:num w:numId="34">
    <w:abstractNumId w:val="23"/>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stylePaneFormatFilter w:val="1024"/>
  <w:stylePaneSortMethod w:val="0000"/>
  <w:defaultTabStop w:val="709"/>
  <w:drawingGridHorizontalSpacing w:val="120"/>
  <w:displayHorizontalDrawingGridEvery w:val="2"/>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0MjYxtDAwNzE2MTM1MLVU0lEKTi0uzszPAymwqAUAXc9AyywAAAA="/>
  </w:docVars>
  <w:rsids>
    <w:rsidRoot w:val="00093571"/>
    <w:rsid w:val="00073350"/>
    <w:rsid w:val="00093571"/>
    <w:rsid w:val="000E4A90"/>
    <w:rsid w:val="000E59B0"/>
    <w:rsid w:val="00103D07"/>
    <w:rsid w:val="00107ED6"/>
    <w:rsid w:val="00114E2E"/>
    <w:rsid w:val="00150EBD"/>
    <w:rsid w:val="00162877"/>
    <w:rsid w:val="00165A1B"/>
    <w:rsid w:val="001B33F9"/>
    <w:rsid w:val="001B5266"/>
    <w:rsid w:val="001F638D"/>
    <w:rsid w:val="001F6B38"/>
    <w:rsid w:val="00204989"/>
    <w:rsid w:val="0022642D"/>
    <w:rsid w:val="00241D6A"/>
    <w:rsid w:val="0027253E"/>
    <w:rsid w:val="002725F2"/>
    <w:rsid w:val="002900AA"/>
    <w:rsid w:val="00295B35"/>
    <w:rsid w:val="002A267C"/>
    <w:rsid w:val="002D5057"/>
    <w:rsid w:val="002F1E24"/>
    <w:rsid w:val="002F63BF"/>
    <w:rsid w:val="00305747"/>
    <w:rsid w:val="00324425"/>
    <w:rsid w:val="00353DCF"/>
    <w:rsid w:val="00396FE6"/>
    <w:rsid w:val="003C79F5"/>
    <w:rsid w:val="003E1273"/>
    <w:rsid w:val="003E361A"/>
    <w:rsid w:val="003F2DF4"/>
    <w:rsid w:val="003F5A8F"/>
    <w:rsid w:val="003F703F"/>
    <w:rsid w:val="00410EC6"/>
    <w:rsid w:val="0043582E"/>
    <w:rsid w:val="00436D9D"/>
    <w:rsid w:val="004521C2"/>
    <w:rsid w:val="0045539A"/>
    <w:rsid w:val="00471415"/>
    <w:rsid w:val="00474253"/>
    <w:rsid w:val="00490D11"/>
    <w:rsid w:val="004A3D6E"/>
    <w:rsid w:val="004C3867"/>
    <w:rsid w:val="00506AA0"/>
    <w:rsid w:val="00521C5D"/>
    <w:rsid w:val="00522630"/>
    <w:rsid w:val="005250B9"/>
    <w:rsid w:val="00543E51"/>
    <w:rsid w:val="00544C99"/>
    <w:rsid w:val="005507AF"/>
    <w:rsid w:val="00550CD3"/>
    <w:rsid w:val="00564C3C"/>
    <w:rsid w:val="00581DA4"/>
    <w:rsid w:val="005A2849"/>
    <w:rsid w:val="005A3866"/>
    <w:rsid w:val="005B22D0"/>
    <w:rsid w:val="005B7E57"/>
    <w:rsid w:val="005F56D4"/>
    <w:rsid w:val="00640C56"/>
    <w:rsid w:val="0064694D"/>
    <w:rsid w:val="00655455"/>
    <w:rsid w:val="00660B1D"/>
    <w:rsid w:val="006655C0"/>
    <w:rsid w:val="006701E3"/>
    <w:rsid w:val="0068698A"/>
    <w:rsid w:val="006B5A3B"/>
    <w:rsid w:val="006D1868"/>
    <w:rsid w:val="006D24B8"/>
    <w:rsid w:val="006E1A7C"/>
    <w:rsid w:val="006E1DFC"/>
    <w:rsid w:val="006F3662"/>
    <w:rsid w:val="006F5CF2"/>
    <w:rsid w:val="006F7AF9"/>
    <w:rsid w:val="007064D8"/>
    <w:rsid w:val="0073532B"/>
    <w:rsid w:val="007415E1"/>
    <w:rsid w:val="00745D71"/>
    <w:rsid w:val="00760102"/>
    <w:rsid w:val="00785D07"/>
    <w:rsid w:val="00794728"/>
    <w:rsid w:val="007A0369"/>
    <w:rsid w:val="007D373A"/>
    <w:rsid w:val="007D5650"/>
    <w:rsid w:val="007E0F31"/>
    <w:rsid w:val="007E33C3"/>
    <w:rsid w:val="007E5FDB"/>
    <w:rsid w:val="00817DE9"/>
    <w:rsid w:val="00820CA0"/>
    <w:rsid w:val="00826D10"/>
    <w:rsid w:val="00830553"/>
    <w:rsid w:val="0084017D"/>
    <w:rsid w:val="00843573"/>
    <w:rsid w:val="00850BAB"/>
    <w:rsid w:val="0086725F"/>
    <w:rsid w:val="0089017D"/>
    <w:rsid w:val="00893FC7"/>
    <w:rsid w:val="008A55C3"/>
    <w:rsid w:val="008B3F6B"/>
    <w:rsid w:val="008C2841"/>
    <w:rsid w:val="008E7B5E"/>
    <w:rsid w:val="00900E44"/>
    <w:rsid w:val="00913393"/>
    <w:rsid w:val="00927085"/>
    <w:rsid w:val="00927D24"/>
    <w:rsid w:val="0094143C"/>
    <w:rsid w:val="00942FCB"/>
    <w:rsid w:val="00944AB4"/>
    <w:rsid w:val="00947C12"/>
    <w:rsid w:val="00967CB7"/>
    <w:rsid w:val="009767BB"/>
    <w:rsid w:val="00982DF8"/>
    <w:rsid w:val="00990BB6"/>
    <w:rsid w:val="00992115"/>
    <w:rsid w:val="00993A0D"/>
    <w:rsid w:val="009D0887"/>
    <w:rsid w:val="009D35F1"/>
    <w:rsid w:val="00A02407"/>
    <w:rsid w:val="00A121C5"/>
    <w:rsid w:val="00A44FCA"/>
    <w:rsid w:val="00A65A8E"/>
    <w:rsid w:val="00A86F3F"/>
    <w:rsid w:val="00A929FA"/>
    <w:rsid w:val="00A95B69"/>
    <w:rsid w:val="00AA124B"/>
    <w:rsid w:val="00AB563E"/>
    <w:rsid w:val="00AC7F0A"/>
    <w:rsid w:val="00AD0812"/>
    <w:rsid w:val="00AD33C5"/>
    <w:rsid w:val="00AE1580"/>
    <w:rsid w:val="00AE5ECF"/>
    <w:rsid w:val="00AF3BCB"/>
    <w:rsid w:val="00AF5AFC"/>
    <w:rsid w:val="00B13B7E"/>
    <w:rsid w:val="00B17EDF"/>
    <w:rsid w:val="00B20493"/>
    <w:rsid w:val="00B22A55"/>
    <w:rsid w:val="00B36C9C"/>
    <w:rsid w:val="00B4705F"/>
    <w:rsid w:val="00B54D80"/>
    <w:rsid w:val="00B574D3"/>
    <w:rsid w:val="00B6792A"/>
    <w:rsid w:val="00B84496"/>
    <w:rsid w:val="00BA3540"/>
    <w:rsid w:val="00BC63CF"/>
    <w:rsid w:val="00BE0E41"/>
    <w:rsid w:val="00BE1B55"/>
    <w:rsid w:val="00BF3639"/>
    <w:rsid w:val="00BF3E91"/>
    <w:rsid w:val="00BF60C0"/>
    <w:rsid w:val="00C0144E"/>
    <w:rsid w:val="00C021C0"/>
    <w:rsid w:val="00C1507A"/>
    <w:rsid w:val="00C41EF3"/>
    <w:rsid w:val="00C46C9E"/>
    <w:rsid w:val="00C70C75"/>
    <w:rsid w:val="00C71548"/>
    <w:rsid w:val="00C80055"/>
    <w:rsid w:val="00C8492F"/>
    <w:rsid w:val="00C872DE"/>
    <w:rsid w:val="00CA67A6"/>
    <w:rsid w:val="00CB2636"/>
    <w:rsid w:val="00CC702B"/>
    <w:rsid w:val="00CD2A23"/>
    <w:rsid w:val="00CE1201"/>
    <w:rsid w:val="00CE62E6"/>
    <w:rsid w:val="00D06205"/>
    <w:rsid w:val="00D13760"/>
    <w:rsid w:val="00D31B6E"/>
    <w:rsid w:val="00D43CC2"/>
    <w:rsid w:val="00D43F3B"/>
    <w:rsid w:val="00D44E9C"/>
    <w:rsid w:val="00D51992"/>
    <w:rsid w:val="00D567FD"/>
    <w:rsid w:val="00D65AA3"/>
    <w:rsid w:val="00D74E03"/>
    <w:rsid w:val="00D76928"/>
    <w:rsid w:val="00D822C6"/>
    <w:rsid w:val="00D9279F"/>
    <w:rsid w:val="00D937A0"/>
    <w:rsid w:val="00DA1528"/>
    <w:rsid w:val="00DA43F6"/>
    <w:rsid w:val="00DB1570"/>
    <w:rsid w:val="00DD7AF0"/>
    <w:rsid w:val="00E222BA"/>
    <w:rsid w:val="00E22CD2"/>
    <w:rsid w:val="00E2710E"/>
    <w:rsid w:val="00E30CE6"/>
    <w:rsid w:val="00E32A80"/>
    <w:rsid w:val="00E4410E"/>
    <w:rsid w:val="00E50333"/>
    <w:rsid w:val="00EA76F5"/>
    <w:rsid w:val="00EF050E"/>
    <w:rsid w:val="00EF439B"/>
    <w:rsid w:val="00F01044"/>
    <w:rsid w:val="00F12337"/>
    <w:rsid w:val="00F16106"/>
    <w:rsid w:val="00F168D9"/>
    <w:rsid w:val="00F43A84"/>
    <w:rsid w:val="00F54DD9"/>
    <w:rsid w:val="00F668C6"/>
    <w:rsid w:val="00F82014"/>
    <w:rsid w:val="00F82D30"/>
    <w:rsid w:val="00FB0217"/>
    <w:rsid w:val="00FD38A9"/>
    <w:rsid w:val="00FF43CA"/>
    <w:rsid w:val="00FF4614"/>
    <w:rsid w:val="00FF573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3">
    <w:name w:val="Normal"/>
    <w:qFormat/>
    <w:rsid w:val="00893FC7"/>
    <w:pPr>
      <w:spacing w:line="360" w:lineRule="auto"/>
      <w:ind w:firstLine="709"/>
      <w:jc w:val="both"/>
    </w:pPr>
    <w:rPr>
      <w:rFonts w:ascii="Times New Roman" w:eastAsia="Times New Roman" w:hAnsi="Times New Roman"/>
      <w:sz w:val="24"/>
      <w:szCs w:val="24"/>
    </w:rPr>
  </w:style>
  <w:style w:type="paragraph" w:styleId="1">
    <w:name w:val="heading 1"/>
    <w:basedOn w:val="a3"/>
    <w:next w:val="a3"/>
    <w:link w:val="10"/>
    <w:qFormat/>
    <w:rsid w:val="00D31B6E"/>
    <w:pPr>
      <w:pageBreakBefore/>
      <w:numPr>
        <w:numId w:val="10"/>
      </w:numPr>
      <w:tabs>
        <w:tab w:val="left" w:pos="993"/>
      </w:tabs>
      <w:suppressAutoHyphens/>
      <w:spacing w:after="360"/>
      <w:ind w:left="709" w:firstLine="0"/>
      <w:contextualSpacing/>
      <w:jc w:val="left"/>
      <w:outlineLvl w:val="0"/>
    </w:pPr>
    <w:rPr>
      <w:szCs w:val="28"/>
    </w:rPr>
  </w:style>
  <w:style w:type="paragraph" w:styleId="2">
    <w:name w:val="heading 2"/>
    <w:basedOn w:val="a3"/>
    <w:next w:val="a3"/>
    <w:link w:val="20"/>
    <w:qFormat/>
    <w:rsid w:val="00D31B6E"/>
    <w:pPr>
      <w:keepNext/>
      <w:keepLines/>
      <w:widowControl w:val="0"/>
      <w:numPr>
        <w:ilvl w:val="1"/>
        <w:numId w:val="10"/>
      </w:numPr>
      <w:tabs>
        <w:tab w:val="left" w:pos="1134"/>
      </w:tabs>
      <w:suppressAutoHyphens/>
      <w:spacing w:before="340" w:after="220"/>
      <w:ind w:left="709" w:firstLine="0"/>
      <w:contextualSpacing/>
      <w:outlineLvl w:val="1"/>
    </w:pPr>
  </w:style>
  <w:style w:type="paragraph" w:styleId="3">
    <w:name w:val="heading 3"/>
    <w:basedOn w:val="a3"/>
    <w:next w:val="a3"/>
    <w:link w:val="30"/>
    <w:uiPriority w:val="9"/>
    <w:qFormat/>
    <w:rsid w:val="00D31B6E"/>
    <w:pPr>
      <w:keepNext/>
      <w:numPr>
        <w:ilvl w:val="2"/>
        <w:numId w:val="10"/>
      </w:numPr>
      <w:tabs>
        <w:tab w:val="left" w:pos="1276"/>
      </w:tabs>
      <w:spacing w:before="120" w:after="120"/>
      <w:ind w:left="709" w:firstLine="0"/>
      <w:outlineLvl w:val="2"/>
    </w:pPr>
  </w:style>
  <w:style w:type="paragraph" w:styleId="4">
    <w:name w:val="heading 4"/>
    <w:basedOn w:val="a3"/>
    <w:next w:val="a3"/>
    <w:link w:val="40"/>
    <w:uiPriority w:val="9"/>
    <w:qFormat/>
    <w:rsid w:val="00D31B6E"/>
    <w:pPr>
      <w:keepNext/>
      <w:widowControl w:val="0"/>
      <w:numPr>
        <w:ilvl w:val="3"/>
        <w:numId w:val="10"/>
      </w:numPr>
      <w:tabs>
        <w:tab w:val="left" w:pos="1418"/>
      </w:tabs>
      <w:spacing w:before="240" w:after="120"/>
      <w:ind w:left="709" w:firstLine="0"/>
      <w:jc w:val="left"/>
      <w:outlineLvl w:val="3"/>
    </w:pPr>
  </w:style>
  <w:style w:type="paragraph" w:styleId="5">
    <w:name w:val="heading 5"/>
    <w:basedOn w:val="a3"/>
    <w:next w:val="a3"/>
    <w:link w:val="50"/>
    <w:unhideWhenUsed/>
    <w:qFormat/>
    <w:rsid w:val="00CE1201"/>
    <w:pPr>
      <w:keepNext/>
      <w:spacing w:before="180" w:after="60"/>
      <w:ind w:firstLine="0"/>
      <w:jc w:val="left"/>
      <w:outlineLvl w:val="4"/>
    </w:pPr>
    <w:rPr>
      <w:rFonts w:cs="Arial"/>
      <w:u w:val="single"/>
    </w:rPr>
  </w:style>
  <w:style w:type="paragraph" w:styleId="6">
    <w:name w:val="heading 6"/>
    <w:basedOn w:val="a3"/>
    <w:next w:val="a3"/>
    <w:link w:val="60"/>
    <w:unhideWhenUsed/>
    <w:rsid w:val="00640C56"/>
    <w:pPr>
      <w:numPr>
        <w:ilvl w:val="5"/>
        <w:numId w:val="10"/>
      </w:numPr>
      <w:spacing w:before="240" w:after="60"/>
      <w:outlineLvl w:val="5"/>
    </w:pPr>
    <w:rPr>
      <w:rFonts w:ascii="Arial" w:hAnsi="Arial"/>
      <w:i/>
      <w:sz w:val="22"/>
    </w:rPr>
  </w:style>
  <w:style w:type="paragraph" w:styleId="7">
    <w:name w:val="heading 7"/>
    <w:basedOn w:val="a3"/>
    <w:next w:val="a3"/>
    <w:link w:val="70"/>
    <w:unhideWhenUsed/>
    <w:rsid w:val="00640C56"/>
    <w:pPr>
      <w:numPr>
        <w:ilvl w:val="6"/>
        <w:numId w:val="10"/>
      </w:numPr>
      <w:spacing w:before="240" w:after="60"/>
      <w:outlineLvl w:val="6"/>
    </w:pPr>
    <w:rPr>
      <w:rFonts w:ascii="Arial" w:hAnsi="Arial"/>
      <w:sz w:val="20"/>
    </w:rPr>
  </w:style>
  <w:style w:type="paragraph" w:styleId="8">
    <w:name w:val="heading 8"/>
    <w:basedOn w:val="a3"/>
    <w:next w:val="a3"/>
    <w:link w:val="80"/>
    <w:unhideWhenUsed/>
    <w:rsid w:val="00640C56"/>
    <w:pPr>
      <w:numPr>
        <w:ilvl w:val="7"/>
        <w:numId w:val="10"/>
      </w:numPr>
      <w:spacing w:before="240" w:after="60"/>
      <w:outlineLvl w:val="7"/>
    </w:pPr>
    <w:rPr>
      <w:rFonts w:ascii="Arial" w:hAnsi="Arial"/>
      <w:i/>
      <w:sz w:val="20"/>
    </w:rPr>
  </w:style>
  <w:style w:type="paragraph" w:styleId="9">
    <w:name w:val="heading 9"/>
    <w:basedOn w:val="a3"/>
    <w:next w:val="a3"/>
    <w:link w:val="90"/>
    <w:unhideWhenUsed/>
    <w:rsid w:val="00640C56"/>
    <w:pPr>
      <w:numPr>
        <w:ilvl w:val="8"/>
        <w:numId w:val="10"/>
      </w:numPr>
      <w:spacing w:after="360"/>
      <w:jc w:val="center"/>
      <w:outlineLvl w:val="8"/>
    </w:pPr>
    <w:rPr>
      <w:b/>
      <w:caps/>
      <w:sz w:val="28"/>
    </w:rPr>
  </w:style>
  <w:style w:type="character" w:default="1" w:styleId="a4">
    <w:name w:val="Default Paragraph Font"/>
    <w:uiPriority w:val="1"/>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rsid w:val="00D31B6E"/>
    <w:rPr>
      <w:rFonts w:ascii="Times New Roman" w:eastAsia="Times New Roman" w:hAnsi="Times New Roman"/>
      <w:sz w:val="24"/>
      <w:szCs w:val="28"/>
    </w:rPr>
  </w:style>
  <w:style w:type="character" w:customStyle="1" w:styleId="20">
    <w:name w:val="Заголовок 2 Знак"/>
    <w:basedOn w:val="a4"/>
    <w:link w:val="2"/>
    <w:rsid w:val="00D31B6E"/>
    <w:rPr>
      <w:rFonts w:ascii="Times New Roman" w:eastAsia="Times New Roman" w:hAnsi="Times New Roman"/>
      <w:sz w:val="24"/>
      <w:szCs w:val="24"/>
    </w:rPr>
  </w:style>
  <w:style w:type="character" w:customStyle="1" w:styleId="30">
    <w:name w:val="Заголовок 3 Знак"/>
    <w:basedOn w:val="a4"/>
    <w:link w:val="3"/>
    <w:uiPriority w:val="9"/>
    <w:rsid w:val="00D31B6E"/>
    <w:rPr>
      <w:rFonts w:ascii="Times New Roman" w:eastAsia="Times New Roman" w:hAnsi="Times New Roman"/>
      <w:sz w:val="24"/>
      <w:szCs w:val="24"/>
    </w:rPr>
  </w:style>
  <w:style w:type="character" w:customStyle="1" w:styleId="40">
    <w:name w:val="Заголовок 4 Знак"/>
    <w:basedOn w:val="a4"/>
    <w:link w:val="4"/>
    <w:uiPriority w:val="9"/>
    <w:rsid w:val="00D31B6E"/>
    <w:rPr>
      <w:rFonts w:ascii="Times New Roman" w:eastAsia="Times New Roman" w:hAnsi="Times New Roman"/>
      <w:sz w:val="24"/>
      <w:szCs w:val="24"/>
    </w:rPr>
  </w:style>
  <w:style w:type="character" w:customStyle="1" w:styleId="50">
    <w:name w:val="Заголовок 5 Знак"/>
    <w:basedOn w:val="a4"/>
    <w:link w:val="5"/>
    <w:rsid w:val="00CE1201"/>
    <w:rPr>
      <w:rFonts w:ascii="Times New Roman" w:eastAsia="Times New Roman" w:hAnsi="Times New Roman" w:cs="Arial"/>
      <w:sz w:val="24"/>
      <w:szCs w:val="24"/>
      <w:u w:val="single"/>
    </w:rPr>
  </w:style>
  <w:style w:type="character" w:customStyle="1" w:styleId="60">
    <w:name w:val="Заголовок 6 Знак"/>
    <w:basedOn w:val="a4"/>
    <w:link w:val="6"/>
    <w:rsid w:val="00640C56"/>
    <w:rPr>
      <w:rFonts w:ascii="Arial" w:eastAsia="Times New Roman" w:hAnsi="Arial"/>
      <w:i/>
      <w:sz w:val="22"/>
      <w:szCs w:val="24"/>
    </w:rPr>
  </w:style>
  <w:style w:type="character" w:customStyle="1" w:styleId="70">
    <w:name w:val="Заголовок 7 Знак"/>
    <w:basedOn w:val="a4"/>
    <w:link w:val="7"/>
    <w:rsid w:val="00640C56"/>
    <w:rPr>
      <w:rFonts w:ascii="Arial" w:eastAsia="Times New Roman" w:hAnsi="Arial"/>
      <w:szCs w:val="24"/>
    </w:rPr>
  </w:style>
  <w:style w:type="character" w:customStyle="1" w:styleId="80">
    <w:name w:val="Заголовок 8 Знак"/>
    <w:basedOn w:val="a4"/>
    <w:link w:val="8"/>
    <w:rsid w:val="00640C56"/>
    <w:rPr>
      <w:rFonts w:ascii="Arial" w:eastAsia="Times New Roman" w:hAnsi="Arial"/>
      <w:i/>
      <w:szCs w:val="24"/>
    </w:rPr>
  </w:style>
  <w:style w:type="character" w:customStyle="1" w:styleId="90">
    <w:name w:val="Заголовок 9 Знак"/>
    <w:basedOn w:val="a4"/>
    <w:link w:val="9"/>
    <w:rsid w:val="00640C56"/>
    <w:rPr>
      <w:rFonts w:ascii="Times New Roman" w:eastAsia="Times New Roman" w:hAnsi="Times New Roman"/>
      <w:b/>
      <w:caps/>
      <w:sz w:val="28"/>
      <w:szCs w:val="24"/>
    </w:rPr>
  </w:style>
  <w:style w:type="paragraph" w:styleId="a7">
    <w:name w:val="Document Map"/>
    <w:basedOn w:val="a3"/>
    <w:link w:val="a8"/>
    <w:uiPriority w:val="99"/>
    <w:semiHidden/>
    <w:unhideWhenUsed/>
    <w:rsid w:val="00E30CE6"/>
    <w:rPr>
      <w:rFonts w:ascii="Tahoma" w:hAnsi="Tahoma" w:cs="Tahoma"/>
      <w:sz w:val="16"/>
      <w:szCs w:val="16"/>
    </w:rPr>
  </w:style>
  <w:style w:type="character" w:customStyle="1" w:styleId="a8">
    <w:name w:val="Схема документа Знак"/>
    <w:basedOn w:val="a4"/>
    <w:link w:val="a7"/>
    <w:uiPriority w:val="99"/>
    <w:semiHidden/>
    <w:rsid w:val="00E30CE6"/>
    <w:rPr>
      <w:rFonts w:ascii="Tahoma" w:eastAsia="Times New Roman" w:hAnsi="Tahoma" w:cs="Tahoma"/>
      <w:sz w:val="16"/>
      <w:szCs w:val="16"/>
    </w:rPr>
  </w:style>
  <w:style w:type="paragraph" w:customStyle="1" w:styleId="a9">
    <w:name w:val="Формула"/>
    <w:basedOn w:val="a3"/>
    <w:next w:val="a3"/>
    <w:qFormat/>
    <w:rsid w:val="00BF60C0"/>
    <w:pPr>
      <w:widowControl w:val="0"/>
      <w:spacing w:before="240" w:after="240"/>
      <w:ind w:firstLine="0"/>
      <w:contextualSpacing/>
      <w:jc w:val="center"/>
    </w:pPr>
  </w:style>
  <w:style w:type="paragraph" w:customStyle="1" w:styleId="aa">
    <w:name w:val="Листинг"/>
    <w:basedOn w:val="a3"/>
    <w:unhideWhenUsed/>
    <w:rsid w:val="00FF5739"/>
    <w:pPr>
      <w:tabs>
        <w:tab w:val="left" w:pos="1701"/>
        <w:tab w:val="left" w:pos="2268"/>
        <w:tab w:val="left" w:pos="2835"/>
        <w:tab w:val="left" w:pos="3402"/>
        <w:tab w:val="left" w:pos="3969"/>
        <w:tab w:val="left" w:pos="4536"/>
      </w:tabs>
      <w:spacing w:before="240" w:after="240" w:line="264" w:lineRule="auto"/>
      <w:ind w:left="1134" w:firstLine="0"/>
      <w:contextualSpacing/>
      <w:jc w:val="left"/>
    </w:pPr>
    <w:rPr>
      <w:rFonts w:ascii="Consolas" w:hAnsi="Consolas"/>
      <w:sz w:val="22"/>
      <w:lang w:val="en-US"/>
    </w:rPr>
  </w:style>
  <w:style w:type="paragraph" w:styleId="11">
    <w:name w:val="toc 1"/>
    <w:basedOn w:val="a3"/>
    <w:next w:val="a3"/>
    <w:link w:val="12"/>
    <w:autoRedefine/>
    <w:uiPriority w:val="39"/>
    <w:rsid w:val="000E59B0"/>
    <w:pPr>
      <w:tabs>
        <w:tab w:val="left" w:pos="284"/>
        <w:tab w:val="right" w:leader="dot" w:pos="9639"/>
      </w:tabs>
      <w:ind w:left="284" w:right="567" w:hanging="284"/>
    </w:pPr>
    <w:rPr>
      <w:noProof/>
    </w:rPr>
  </w:style>
  <w:style w:type="character" w:customStyle="1" w:styleId="12">
    <w:name w:val="Оглавление 1 Знак"/>
    <w:basedOn w:val="a4"/>
    <w:link w:val="11"/>
    <w:uiPriority w:val="39"/>
    <w:rsid w:val="000E59B0"/>
    <w:rPr>
      <w:rFonts w:ascii="Times New Roman" w:eastAsia="Times New Roman" w:hAnsi="Times New Roman"/>
      <w:noProof/>
      <w:sz w:val="24"/>
      <w:szCs w:val="24"/>
    </w:rPr>
  </w:style>
  <w:style w:type="paragraph" w:styleId="21">
    <w:name w:val="toc 2"/>
    <w:basedOn w:val="a3"/>
    <w:next w:val="a3"/>
    <w:link w:val="22"/>
    <w:autoRedefine/>
    <w:uiPriority w:val="39"/>
    <w:rsid w:val="00640C56"/>
    <w:pPr>
      <w:tabs>
        <w:tab w:val="left" w:pos="709"/>
        <w:tab w:val="right" w:leader="dot" w:pos="9639"/>
      </w:tabs>
      <w:spacing w:before="60"/>
      <w:ind w:left="709" w:right="567" w:hanging="471"/>
    </w:pPr>
    <w:rPr>
      <w:noProof/>
    </w:rPr>
  </w:style>
  <w:style w:type="character" w:customStyle="1" w:styleId="22">
    <w:name w:val="Оглавление 2 Знак"/>
    <w:basedOn w:val="a4"/>
    <w:link w:val="21"/>
    <w:uiPriority w:val="39"/>
    <w:rsid w:val="00640C56"/>
    <w:rPr>
      <w:rFonts w:ascii="Times New Roman" w:eastAsia="Times New Roman" w:hAnsi="Times New Roman"/>
      <w:noProof/>
      <w:sz w:val="24"/>
      <w:szCs w:val="24"/>
    </w:rPr>
  </w:style>
  <w:style w:type="paragraph" w:styleId="31">
    <w:name w:val="toc 3"/>
    <w:basedOn w:val="a3"/>
    <w:next w:val="a3"/>
    <w:autoRedefine/>
    <w:uiPriority w:val="39"/>
    <w:rsid w:val="00640C56"/>
    <w:pPr>
      <w:tabs>
        <w:tab w:val="left" w:pos="1276"/>
        <w:tab w:val="right" w:leader="dot" w:pos="9639"/>
      </w:tabs>
      <w:ind w:left="1276" w:right="565" w:hanging="567"/>
      <w:jc w:val="left"/>
    </w:pPr>
    <w:rPr>
      <w:noProof/>
    </w:rPr>
  </w:style>
  <w:style w:type="paragraph" w:customStyle="1" w:styleId="ab">
    <w:name w:val="После формулы"/>
    <w:basedOn w:val="a3"/>
    <w:next w:val="a3"/>
    <w:link w:val="ac"/>
    <w:qFormat/>
    <w:rsid w:val="00640C56"/>
    <w:pPr>
      <w:ind w:firstLine="0"/>
    </w:pPr>
  </w:style>
  <w:style w:type="paragraph" w:customStyle="1" w:styleId="-">
    <w:name w:val="Таблица - заголовок"/>
    <w:basedOn w:val="a3"/>
    <w:next w:val="a3"/>
    <w:rsid w:val="00AD33C5"/>
    <w:pPr>
      <w:keepNext/>
      <w:spacing w:before="240" w:after="120" w:line="240" w:lineRule="auto"/>
      <w:ind w:firstLine="0"/>
      <w:jc w:val="left"/>
    </w:pPr>
  </w:style>
  <w:style w:type="character" w:styleId="ad">
    <w:name w:val="Placeholder Text"/>
    <w:basedOn w:val="a4"/>
    <w:uiPriority w:val="99"/>
    <w:semiHidden/>
    <w:rsid w:val="003E1273"/>
    <w:rPr>
      <w:color w:val="808080"/>
    </w:rPr>
  </w:style>
  <w:style w:type="paragraph" w:styleId="ae">
    <w:name w:val="Body Text"/>
    <w:basedOn w:val="a3"/>
    <w:link w:val="af"/>
    <w:uiPriority w:val="99"/>
    <w:unhideWhenUsed/>
    <w:rsid w:val="0022642D"/>
    <w:pPr>
      <w:spacing w:after="120"/>
    </w:pPr>
  </w:style>
  <w:style w:type="character" w:customStyle="1" w:styleId="af">
    <w:name w:val="Основной текст Знак"/>
    <w:basedOn w:val="a4"/>
    <w:link w:val="ae"/>
    <w:uiPriority w:val="99"/>
    <w:rsid w:val="0022642D"/>
    <w:rPr>
      <w:rFonts w:ascii="Times New Roman" w:eastAsia="Times New Roman" w:hAnsi="Times New Roman"/>
      <w:sz w:val="24"/>
      <w:szCs w:val="24"/>
    </w:rPr>
  </w:style>
  <w:style w:type="paragraph" w:customStyle="1" w:styleId="13">
    <w:name w:val="Заголовок 1 без номера"/>
    <w:basedOn w:val="1"/>
    <w:next w:val="a3"/>
    <w:qFormat/>
    <w:rsid w:val="005507AF"/>
    <w:pPr>
      <w:numPr>
        <w:numId w:val="0"/>
      </w:numPr>
      <w:jc w:val="center"/>
    </w:pPr>
    <w:rPr>
      <w:caps/>
    </w:rPr>
  </w:style>
  <w:style w:type="paragraph" w:customStyle="1" w:styleId="-0">
    <w:name w:val="Рисунок - подпись"/>
    <w:basedOn w:val="a3"/>
    <w:next w:val="a3"/>
    <w:rsid w:val="009767BB"/>
    <w:pPr>
      <w:keepLines/>
      <w:suppressAutoHyphens/>
      <w:spacing w:before="40" w:after="120" w:line="240" w:lineRule="auto"/>
      <w:ind w:firstLine="0"/>
      <w:jc w:val="center"/>
    </w:pPr>
  </w:style>
  <w:style w:type="paragraph" w:customStyle="1" w:styleId="af0">
    <w:name w:val="Рисунок"/>
    <w:basedOn w:val="a3"/>
    <w:link w:val="14"/>
    <w:qFormat/>
    <w:rsid w:val="006F7AF9"/>
    <w:pPr>
      <w:keepNext/>
      <w:spacing w:before="240"/>
      <w:ind w:firstLine="0"/>
      <w:jc w:val="center"/>
    </w:pPr>
    <w:rPr>
      <w:rFonts w:cs="Calibri"/>
      <w:szCs w:val="16"/>
    </w:rPr>
  </w:style>
  <w:style w:type="character" w:customStyle="1" w:styleId="14">
    <w:name w:val="Рисунок1 Знак"/>
    <w:basedOn w:val="a4"/>
    <w:link w:val="af0"/>
    <w:rsid w:val="006F7AF9"/>
    <w:rPr>
      <w:rFonts w:ascii="Times New Roman" w:eastAsia="Times New Roman" w:hAnsi="Times New Roman" w:cs="Calibri"/>
      <w:sz w:val="24"/>
      <w:szCs w:val="16"/>
    </w:rPr>
  </w:style>
  <w:style w:type="paragraph" w:styleId="af1">
    <w:name w:val="annotation subject"/>
    <w:basedOn w:val="a3"/>
    <w:link w:val="af2"/>
    <w:uiPriority w:val="99"/>
    <w:semiHidden/>
    <w:unhideWhenUsed/>
    <w:rsid w:val="00E30CE6"/>
    <w:rPr>
      <w:b/>
      <w:bCs/>
      <w:sz w:val="20"/>
      <w:szCs w:val="20"/>
    </w:rPr>
  </w:style>
  <w:style w:type="character" w:customStyle="1" w:styleId="af2">
    <w:name w:val="Тема примечания Знак"/>
    <w:basedOn w:val="a4"/>
    <w:link w:val="af1"/>
    <w:uiPriority w:val="99"/>
    <w:semiHidden/>
    <w:rsid w:val="00E30CE6"/>
    <w:rPr>
      <w:b/>
      <w:bCs/>
    </w:rPr>
  </w:style>
  <w:style w:type="paragraph" w:styleId="af3">
    <w:name w:val="Revision"/>
    <w:hidden/>
    <w:uiPriority w:val="99"/>
    <w:semiHidden/>
    <w:rsid w:val="00D06205"/>
    <w:pPr>
      <w:spacing w:line="360" w:lineRule="auto"/>
      <w:ind w:firstLine="709"/>
      <w:jc w:val="both"/>
    </w:pPr>
    <w:rPr>
      <w:rFonts w:ascii="Times New Roman" w:eastAsia="Times New Roman" w:hAnsi="Times New Roman"/>
      <w:sz w:val="24"/>
      <w:szCs w:val="24"/>
    </w:rPr>
  </w:style>
  <w:style w:type="paragraph" w:styleId="af4">
    <w:name w:val="TOC Heading"/>
    <w:basedOn w:val="a3"/>
    <w:next w:val="a3"/>
    <w:uiPriority w:val="39"/>
    <w:unhideWhenUsed/>
    <w:qFormat/>
    <w:rsid w:val="00295B35"/>
    <w:pPr>
      <w:spacing w:after="360"/>
      <w:ind w:firstLine="0"/>
      <w:jc w:val="center"/>
    </w:pPr>
    <w:rPr>
      <w:caps/>
      <w:szCs w:val="28"/>
    </w:rPr>
  </w:style>
  <w:style w:type="table" w:styleId="af5">
    <w:name w:val="Table Grid"/>
    <w:basedOn w:val="a5"/>
    <w:rsid w:val="00AE1580"/>
    <w:rPr>
      <w:rFonts w:ascii="Cambria" w:eastAsia="Cambria" w:hAnsi="Cambri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0">
    <w:name w:val="Список маркированный"/>
    <w:basedOn w:val="a3"/>
    <w:qFormat/>
    <w:rsid w:val="00CE1201"/>
    <w:pPr>
      <w:numPr>
        <w:numId w:val="12"/>
      </w:numPr>
      <w:tabs>
        <w:tab w:val="left" w:pos="851"/>
      </w:tabs>
      <w:ind w:left="0" w:firstLine="709"/>
    </w:pPr>
    <w:rPr>
      <w:lang w:val="en-US"/>
    </w:rPr>
  </w:style>
  <w:style w:type="paragraph" w:customStyle="1" w:styleId="a">
    <w:name w:val="Список нумерованный"/>
    <w:basedOn w:val="a0"/>
    <w:qFormat/>
    <w:rsid w:val="00CE1201"/>
    <w:pPr>
      <w:numPr>
        <w:numId w:val="15"/>
      </w:numPr>
      <w:tabs>
        <w:tab w:val="clear" w:pos="851"/>
        <w:tab w:val="clear" w:pos="992"/>
        <w:tab w:val="num" w:pos="993"/>
      </w:tabs>
    </w:pPr>
  </w:style>
  <w:style w:type="paragraph" w:styleId="af6">
    <w:name w:val="Balloon Text"/>
    <w:basedOn w:val="a3"/>
    <w:link w:val="af7"/>
    <w:uiPriority w:val="99"/>
    <w:semiHidden/>
    <w:unhideWhenUsed/>
    <w:rsid w:val="00CE1201"/>
    <w:pPr>
      <w:spacing w:line="240" w:lineRule="auto"/>
    </w:pPr>
    <w:rPr>
      <w:rFonts w:ascii="Tahoma" w:hAnsi="Tahoma" w:cs="Tahoma"/>
      <w:sz w:val="16"/>
      <w:szCs w:val="16"/>
    </w:rPr>
  </w:style>
  <w:style w:type="character" w:customStyle="1" w:styleId="af7">
    <w:name w:val="Текст выноски Знак"/>
    <w:basedOn w:val="a4"/>
    <w:link w:val="af6"/>
    <w:uiPriority w:val="99"/>
    <w:semiHidden/>
    <w:rsid w:val="00CE1201"/>
    <w:rPr>
      <w:rFonts w:ascii="Tahoma" w:eastAsia="Times New Roman" w:hAnsi="Tahoma" w:cs="Tahoma"/>
      <w:sz w:val="16"/>
      <w:szCs w:val="16"/>
    </w:rPr>
  </w:style>
  <w:style w:type="paragraph" w:customStyle="1" w:styleId="-1">
    <w:name w:val="Таблица - текст внутри"/>
    <w:basedOn w:val="ab"/>
    <w:link w:val="-2"/>
    <w:qFormat/>
    <w:rsid w:val="00AD33C5"/>
    <w:pPr>
      <w:spacing w:line="240" w:lineRule="auto"/>
      <w:jc w:val="center"/>
    </w:pPr>
  </w:style>
  <w:style w:type="paragraph" w:customStyle="1" w:styleId="a2">
    <w:name w:val="Список многоуровневый"/>
    <w:basedOn w:val="a3"/>
    <w:link w:val="af8"/>
    <w:qFormat/>
    <w:rsid w:val="00EA76F5"/>
    <w:pPr>
      <w:numPr>
        <w:numId w:val="18"/>
      </w:numPr>
    </w:pPr>
  </w:style>
  <w:style w:type="character" w:customStyle="1" w:styleId="ac">
    <w:name w:val="После формулы Знак"/>
    <w:basedOn w:val="a4"/>
    <w:link w:val="ab"/>
    <w:rsid w:val="00CE1201"/>
    <w:rPr>
      <w:rFonts w:ascii="Times New Roman" w:eastAsia="Times New Roman" w:hAnsi="Times New Roman"/>
      <w:sz w:val="24"/>
      <w:szCs w:val="24"/>
    </w:rPr>
  </w:style>
  <w:style w:type="character" w:customStyle="1" w:styleId="-2">
    <w:name w:val="Таблица - текст внутри Знак"/>
    <w:basedOn w:val="ac"/>
    <w:link w:val="-1"/>
    <w:rsid w:val="00AD33C5"/>
    <w:rPr>
      <w:rFonts w:ascii="Times New Roman" w:eastAsia="Times New Roman" w:hAnsi="Times New Roman"/>
      <w:sz w:val="24"/>
      <w:szCs w:val="24"/>
    </w:rPr>
  </w:style>
  <w:style w:type="character" w:customStyle="1" w:styleId="af8">
    <w:name w:val="Список многоуровневый Знак"/>
    <w:basedOn w:val="a4"/>
    <w:link w:val="a2"/>
    <w:rsid w:val="00EA76F5"/>
    <w:rPr>
      <w:rFonts w:ascii="Times New Roman" w:eastAsia="Times New Roman" w:hAnsi="Times New Roman"/>
      <w:sz w:val="24"/>
      <w:szCs w:val="24"/>
    </w:rPr>
  </w:style>
  <w:style w:type="paragraph" w:styleId="af9">
    <w:name w:val="Bibliography"/>
    <w:basedOn w:val="a3"/>
    <w:next w:val="a3"/>
    <w:uiPriority w:val="37"/>
    <w:semiHidden/>
    <w:unhideWhenUsed/>
    <w:rsid w:val="00BF3639"/>
  </w:style>
  <w:style w:type="paragraph" w:styleId="afa">
    <w:name w:val="header"/>
    <w:basedOn w:val="a3"/>
    <w:link w:val="afb"/>
    <w:unhideWhenUsed/>
    <w:rsid w:val="002D5057"/>
    <w:pPr>
      <w:tabs>
        <w:tab w:val="center" w:pos="4677"/>
        <w:tab w:val="right" w:pos="9355"/>
      </w:tabs>
      <w:spacing w:line="240" w:lineRule="auto"/>
    </w:pPr>
  </w:style>
  <w:style w:type="character" w:customStyle="1" w:styleId="afb">
    <w:name w:val="Верхний колонтитул Знак"/>
    <w:basedOn w:val="a4"/>
    <w:link w:val="afa"/>
    <w:rsid w:val="002D5057"/>
    <w:rPr>
      <w:rFonts w:ascii="Times New Roman" w:eastAsia="Times New Roman" w:hAnsi="Times New Roman"/>
      <w:sz w:val="24"/>
      <w:szCs w:val="24"/>
    </w:rPr>
  </w:style>
  <w:style w:type="paragraph" w:styleId="afc">
    <w:name w:val="footer"/>
    <w:basedOn w:val="a3"/>
    <w:link w:val="afd"/>
    <w:uiPriority w:val="99"/>
    <w:unhideWhenUsed/>
    <w:rsid w:val="002D5057"/>
    <w:pPr>
      <w:tabs>
        <w:tab w:val="center" w:pos="4677"/>
        <w:tab w:val="right" w:pos="9355"/>
      </w:tabs>
      <w:spacing w:line="240" w:lineRule="auto"/>
    </w:pPr>
  </w:style>
  <w:style w:type="character" w:customStyle="1" w:styleId="afd">
    <w:name w:val="Нижний колонтитул Знак"/>
    <w:basedOn w:val="a4"/>
    <w:link w:val="afc"/>
    <w:uiPriority w:val="99"/>
    <w:rsid w:val="002D5057"/>
    <w:rPr>
      <w:rFonts w:ascii="Times New Roman" w:eastAsia="Times New Roman" w:hAnsi="Times New Roman"/>
      <w:sz w:val="24"/>
      <w:szCs w:val="24"/>
    </w:rPr>
  </w:style>
  <w:style w:type="paragraph" w:customStyle="1" w:styleId="afe">
    <w:name w:val="После где"/>
    <w:basedOn w:val="ab"/>
    <w:qFormat/>
    <w:rsid w:val="0043582E"/>
    <w:pPr>
      <w:ind w:left="369"/>
    </w:pPr>
  </w:style>
  <w:style w:type="character" w:styleId="aff">
    <w:name w:val="Hyperlink"/>
    <w:basedOn w:val="a4"/>
    <w:uiPriority w:val="99"/>
    <w:unhideWhenUsed/>
    <w:rsid w:val="005507AF"/>
    <w:rPr>
      <w:color w:val="0000FF" w:themeColor="hyperlink"/>
      <w:u w:val="single"/>
    </w:rPr>
  </w:style>
  <w:style w:type="paragraph" w:styleId="aff0">
    <w:name w:val="List Paragraph"/>
    <w:basedOn w:val="a3"/>
    <w:uiPriority w:val="99"/>
    <w:qFormat/>
    <w:rsid w:val="00AD0812"/>
    <w:pPr>
      <w:ind w:left="720"/>
      <w:contextualSpacing/>
    </w:pPr>
  </w:style>
  <w:style w:type="paragraph" w:customStyle="1" w:styleId="a1">
    <w:name w:val="Список источников"/>
    <w:basedOn w:val="aff0"/>
    <w:qFormat/>
    <w:rsid w:val="00AD0812"/>
    <w:pPr>
      <w:numPr>
        <w:numId w:val="22"/>
      </w:numPr>
      <w:tabs>
        <w:tab w:val="left" w:pos="993"/>
      </w:tabs>
      <w:ind w:left="0" w:firstLine="709"/>
    </w:pPr>
    <w:rPr>
      <w:lang w:val="en-US"/>
    </w:rPr>
  </w:style>
  <w:style w:type="table" w:customStyle="1" w:styleId="TableGrid">
    <w:name w:val="TableGrid"/>
    <w:qFormat/>
    <w:rsid w:val="00893FC7"/>
    <w:rPr>
      <w:rFonts w:ascii="Times New Roman" w:eastAsia="SimSun" w:hAnsi="Times New Roman"/>
    </w:rPr>
    <w:tblPr>
      <w:tblCellMar>
        <w:top w:w="0" w:type="dxa"/>
        <w:left w:w="0" w:type="dxa"/>
        <w:bottom w:w="0" w:type="dxa"/>
        <w:right w:w="0" w:type="dxa"/>
      </w:tblCellMar>
    </w:tblPr>
  </w:style>
  <w:style w:type="paragraph" w:styleId="aff1">
    <w:name w:val="caption"/>
    <w:basedOn w:val="a3"/>
    <w:next w:val="a3"/>
    <w:uiPriority w:val="35"/>
    <w:unhideWhenUsed/>
    <w:qFormat/>
    <w:rsid w:val="007E33C3"/>
    <w:pPr>
      <w:spacing w:after="200"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ch\AppData\Roaming\Microsoft\&#1064;&#1072;&#1073;&#1083;&#1086;&#1085;&#1099;\OtchetSGAU.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736A6C"/>
    <w:rsid w:val="00736A6C"/>
    <w:rsid w:val="00BD0D9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36A6C"/>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D0888-4707-43B3-B31A-1A875A35D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OtchetSGAU.dotm</Template>
  <TotalTime>71</TotalTime>
  <Pages>18</Pages>
  <Words>5342</Words>
  <Characters>30453</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В. Благов</dc:creator>
  <cp:lastModifiedBy>student</cp:lastModifiedBy>
  <cp:revision>3</cp:revision>
  <cp:lastPrinted>2016-08-31T12:08:00Z</cp:lastPrinted>
  <dcterms:created xsi:type="dcterms:W3CDTF">2025-11-20T12:52:00Z</dcterms:created>
  <dcterms:modified xsi:type="dcterms:W3CDTF">2025-11-20T14:26:00Z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id="gjYRCFpi"/&gt;&lt;style id="http://www.somwhere.org/csl/style/CompOptLit" hasBibliography="1" bibliographyStyleHasBeenSet="1"/&gt;&lt;prefs&gt;&lt;pref name="fieldType" value="Field"/&gt;&lt;pref name="automaticJournalA</vt:lpwstr>
  </property>
  <property fmtid="{D5CDD505-2E9C-101B-9397-08002B2CF9AE}" pid="3" name="ZOTERO_PREF_2">
    <vt:lpwstr>bbreviations" value="true"/&gt;&lt;pref name="delayCitationUpdates" value="true"/&gt;&lt;/prefs&gt;&lt;/data&gt;</vt:lpwstr>
  </property>
</Properties>
</file>