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5A606A"/>
          <w:sz w:val="20"/>
        </w:rPr>
        <w:t>TECHNICAL ARCHITECTURE BRIEF</w:t>
      </w:r>
    </w:p>
    <w:p>
      <w:pPr>
        <w:spacing w:after="80"/>
      </w:pPr>
      <w:r>
        <w:rPr>
          <w:rFonts w:ascii="Calibri" w:hAnsi="Calibri"/>
          <w:b/>
          <w:color w:val="141E2D"/>
          <w:sz w:val="52"/>
        </w:rPr>
        <w:t>GhostLedger</w:t>
      </w:r>
    </w:p>
    <w:p>
      <w:pPr>
        <w:spacing w:after="280"/>
      </w:pPr>
      <w:r>
        <w:rPr>
          <w:rFonts w:ascii="Calibri" w:hAnsi="Calibri"/>
          <w:color w:val="5A606A"/>
          <w:sz w:val="26"/>
        </w:rPr>
        <w:t>A local-first personal finance application architecture for a portfolio-grade full-stack project</w:t>
      </w:r>
    </w:p>
    <w:tbl>
      <w:tblPr>
        <w:tblW w:type="dxa" w:w="9360"/>
        <w:jc w:val="left"/>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100"/>
        <w:gridCol w:w="7260"/>
      </w:tblGrid>
      <w:tr>
        <w:trPr>
          <w:tblHeader w:val="true"/>
        </w:trPr>
        <w:tc>
          <w:tcPr>
            <w:tcW w:type="dxa" w:w="2100"/>
            <w:tcMar>
              <w:top w:w="80" w:type="dxa"/>
              <w:start w:w="120" w:type="dxa"/>
              <w:bottom w:w="80" w:type="dxa"/>
              <w:end w:w="120" w:type="dxa"/>
            </w:tcMar>
            <w:vAlign w:val="center"/>
            <w:shd w:fill="E8EEF5"/>
          </w:tcPr>
          <w:p>
            <w:pPr>
              <w:spacing w:before="0" w:after="0" w:line="264" w:lineRule="auto"/>
            </w:pPr>
            <w:r/>
            <w:r>
              <w:rPr>
                <w:rFonts w:ascii="Calibri" w:hAnsi="Calibri"/>
                <w:b/>
                <w:color w:val="1F4D78"/>
                <w:sz w:val="21"/>
              </w:rPr>
              <w:t>Project Type</w:t>
            </w:r>
          </w:p>
        </w:tc>
        <w:tc>
          <w:tcPr>
            <w:tcW w:type="dxa" w:w="7260"/>
            <w:tcMar>
              <w:top w:w="80" w:type="dxa"/>
              <w:start w:w="120" w:type="dxa"/>
              <w:bottom w:w="80" w:type="dxa"/>
              <w:end w:w="120" w:type="dxa"/>
            </w:tcMar>
            <w:vAlign w:val="center"/>
          </w:tcPr>
          <w:p>
            <w:pPr>
              <w:spacing w:before="0" w:after="0" w:line="264" w:lineRule="auto"/>
            </w:pPr>
            <w:r/>
            <w:r>
              <w:rPr>
                <w:rFonts w:ascii="Calibri" w:hAnsi="Calibri"/>
                <w:color w:val="141E2D"/>
                <w:sz w:val="21"/>
              </w:rPr>
              <w:t>Local-first personal finance tracker with optional AI assistance</w:t>
            </w:r>
          </w:p>
        </w:tc>
      </w:tr>
      <w:tr>
        <w:tc>
          <w:tcPr>
            <w:tcW w:type="dxa" w:w="2100"/>
            <w:tcMar>
              <w:top w:w="80" w:type="dxa"/>
              <w:start w:w="120" w:type="dxa"/>
              <w:bottom w:w="80" w:type="dxa"/>
              <w:end w:w="120" w:type="dxa"/>
            </w:tcMar>
            <w:vAlign w:val="center"/>
            <w:shd w:fill="E8EEF5"/>
          </w:tcPr>
          <w:p>
            <w:pPr>
              <w:spacing w:before="0" w:after="0" w:line="264" w:lineRule="auto"/>
            </w:pPr>
            <w:r/>
            <w:r>
              <w:rPr>
                <w:rFonts w:ascii="Calibri" w:hAnsi="Calibri"/>
                <w:b/>
                <w:color w:val="1F4D78"/>
                <w:sz w:val="21"/>
              </w:rPr>
              <w:t>Primary Audience</w:t>
            </w:r>
          </w:p>
        </w:tc>
        <w:tc>
          <w:tcPr>
            <w:tcW w:type="dxa" w:w="7260"/>
            <w:tcMar>
              <w:top w:w="80" w:type="dxa"/>
              <w:start w:w="120" w:type="dxa"/>
              <w:bottom w:w="80" w:type="dxa"/>
              <w:end w:w="120" w:type="dxa"/>
            </w:tcMar>
            <w:vAlign w:val="center"/>
          </w:tcPr>
          <w:p>
            <w:pPr>
              <w:spacing w:before="0" w:after="0" w:line="264" w:lineRule="auto"/>
            </w:pPr>
            <w:r/>
            <w:r>
              <w:rPr>
                <w:rFonts w:ascii="Calibri" w:hAnsi="Calibri"/>
                <w:color w:val="141E2D"/>
                <w:sz w:val="21"/>
              </w:rPr>
              <w:t>Portfolio reviewers, backend/SWE interviewers, and future contributors</w:t>
            </w:r>
          </w:p>
        </w:tc>
      </w:tr>
      <w:tr>
        <w:tc>
          <w:tcPr>
            <w:tcW w:type="dxa" w:w="2100"/>
            <w:tcMar>
              <w:top w:w="80" w:type="dxa"/>
              <w:start w:w="120" w:type="dxa"/>
              <w:bottom w:w="80" w:type="dxa"/>
              <w:end w:w="120" w:type="dxa"/>
            </w:tcMar>
            <w:vAlign w:val="center"/>
            <w:shd w:fill="E8EEF5"/>
          </w:tcPr>
          <w:p>
            <w:pPr>
              <w:spacing w:before="0" w:after="0" w:line="264" w:lineRule="auto"/>
            </w:pPr>
            <w:r/>
            <w:r>
              <w:rPr>
                <w:rFonts w:ascii="Calibri" w:hAnsi="Calibri"/>
                <w:b/>
                <w:color w:val="1F4D78"/>
                <w:sz w:val="21"/>
              </w:rPr>
              <w:t>Recommended Stack</w:t>
            </w:r>
          </w:p>
        </w:tc>
        <w:tc>
          <w:tcPr>
            <w:tcW w:type="dxa" w:w="7260"/>
            <w:tcMar>
              <w:top w:w="80" w:type="dxa"/>
              <w:start w:w="120" w:type="dxa"/>
              <w:bottom w:w="80" w:type="dxa"/>
              <w:end w:w="120" w:type="dxa"/>
            </w:tcMar>
            <w:vAlign w:val="center"/>
          </w:tcPr>
          <w:p>
            <w:pPr>
              <w:spacing w:before="0" w:after="0" w:line="264" w:lineRule="auto"/>
            </w:pPr>
            <w:r/>
            <w:r>
              <w:rPr>
                <w:rFonts w:ascii="Calibri" w:hAnsi="Calibri"/>
                <w:color w:val="141E2D"/>
                <w:sz w:val="21"/>
              </w:rPr>
              <w:t>React + Vite, Express, TypeScript, SQLite, Drizzle ORM, Zod, Docker</w:t>
            </w:r>
          </w:p>
        </w:tc>
      </w:tr>
      <w:tr>
        <w:tc>
          <w:tcPr>
            <w:tcW w:type="dxa" w:w="2100"/>
            <w:tcMar>
              <w:top w:w="80" w:type="dxa"/>
              <w:start w:w="120" w:type="dxa"/>
              <w:bottom w:w="80" w:type="dxa"/>
              <w:end w:w="120" w:type="dxa"/>
            </w:tcMar>
            <w:vAlign w:val="center"/>
            <w:shd w:fill="E8EEF5"/>
          </w:tcPr>
          <w:p>
            <w:pPr>
              <w:spacing w:before="0" w:after="0" w:line="264" w:lineRule="auto"/>
            </w:pPr>
            <w:r/>
            <w:r>
              <w:rPr>
                <w:rFonts w:ascii="Calibri" w:hAnsi="Calibri"/>
                <w:b/>
                <w:color w:val="1F4D78"/>
                <w:sz w:val="21"/>
              </w:rPr>
              <w:t>Architecture Priority</w:t>
            </w:r>
          </w:p>
        </w:tc>
        <w:tc>
          <w:tcPr>
            <w:tcW w:type="dxa" w:w="7260"/>
            <w:tcMar>
              <w:top w:w="80" w:type="dxa"/>
              <w:start w:w="120" w:type="dxa"/>
              <w:bottom w:w="80" w:type="dxa"/>
              <w:end w:w="120" w:type="dxa"/>
            </w:tcMar>
            <w:vAlign w:val="center"/>
          </w:tcPr>
          <w:p>
            <w:pPr>
              <w:spacing w:before="0" w:after="0" w:line="264" w:lineRule="auto"/>
            </w:pPr>
            <w:r/>
            <w:r>
              <w:rPr>
                <w:rFonts w:ascii="Calibri" w:hAnsi="Calibri"/>
                <w:color w:val="141E2D"/>
                <w:sz w:val="21"/>
              </w:rPr>
              <w:t>Simple, privacy-preserving, maintainable, and credible for real-world use</w:t>
            </w:r>
          </w:p>
        </w:tc>
      </w:tr>
    </w:tbl>
    <w:p>
      <w:pPr>
        <w:spacing w:after="80"/>
      </w:pPr>
    </w:p>
    <w:p>
      <w:pPr>
        <w:pStyle w:val="Heading1"/>
        <w:spacing w:before="320" w:after="160"/>
      </w:pPr>
      <w:r>
        <w:rPr>
          <w:rFonts w:ascii="Calibri" w:hAnsi="Calibri"/>
          <w:b/>
          <w:color w:val="2E74B5"/>
          <w:sz w:val="32"/>
        </w:rPr>
        <w:t>Executive Summary</w:t>
      </w:r>
    </w:p>
    <w:p>
      <w:pPr>
        <w:spacing w:before="0" w:after="120" w:line="264" w:lineRule="auto"/>
      </w:pPr>
      <w:r>
        <w:rPr>
          <w:rFonts w:ascii="Calibri" w:hAnsi="Calibri"/>
          <w:color w:val="141E2D"/>
          <w:sz w:val="22"/>
        </w:rPr>
        <w:t>GhostLedger should be positioned as a local-first personal finance application that gives users ownership of their financial data while still demonstrating serious backend engineering. The strongest version of the project avoids unnecessary platform complexity, uses SQLite deliberately, keeps AI optional, and presents a clean layered backend that is easy to test, extend, and explain in interviews.</w:t>
      </w:r>
    </w:p>
    <w:tbl>
      <w:tblPr>
        <w:tblW w:type="dxa" w:w="9360"/>
        <w:jc w:val="left"/>
        <w:tblLayout w:type="fixed"/>
        <w:tblLook w:firstColumn="1" w:firstRow="1" w:lastColumn="0" w:lastRow="0" w:noHBand="0" w:noVBand="1" w:val="04A0"/>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9360"/>
      </w:tblGrid>
      <w:tr>
        <w:trPr>
          <w:tblHeader w:val="true"/>
        </w:trPr>
        <w:tc>
          <w:tcPr>
            <w:tcW w:type="dxa" w:w="9360"/>
            <w:tcMar>
              <w:top w:w="80" w:type="dxa"/>
              <w:start w:w="120" w:type="dxa"/>
              <w:bottom w:w="80" w:type="dxa"/>
              <w:end w:w="120" w:type="dxa"/>
            </w:tcMar>
            <w:vAlign w:val="center"/>
            <w:shd w:fill="F4F6F9"/>
          </w:tcPr>
          <w:p>
            <w:pPr>
              <w:spacing w:before="0" w:after="40" w:line="264" w:lineRule="auto"/>
            </w:pPr>
            <w:r>
              <w:rPr>
                <w:rFonts w:ascii="Calibri" w:hAnsi="Calibri"/>
                <w:b/>
                <w:color w:val="1F4D78"/>
                <w:sz w:val="21"/>
              </w:rPr>
              <w:t>Recommended Direction</w:t>
            </w:r>
          </w:p>
          <w:p>
            <w:pPr>
              <w:spacing w:before="0" w:after="0" w:line="264" w:lineRule="auto"/>
            </w:pPr>
            <w:r>
              <w:rPr>
                <w:rFonts w:ascii="Calibri" w:hAnsi="Calibri"/>
                <w:color w:val="141E2D"/>
                <w:sz w:val="21"/>
              </w:rPr>
              <w:t>Build with TypeScript across the stack, SQLite with Drizzle ORM, and a layered Express backend using routes, controllers, services, repositories, and explicit validation boundaries.</w:t>
            </w:r>
          </w:p>
        </w:tc>
      </w:tr>
    </w:tbl>
    <w:p>
      <w:pPr>
        <w:spacing w:after="40"/>
      </w:pPr>
    </w:p>
    <w:p>
      <w:pPr>
        <w:pStyle w:val="Heading1"/>
        <w:spacing w:before="320" w:after="160"/>
      </w:pPr>
      <w:r>
        <w:rPr>
          <w:rFonts w:ascii="Calibri" w:hAnsi="Calibri"/>
          <w:b/>
          <w:color w:val="2E74B5"/>
          <w:sz w:val="32"/>
        </w:rPr>
        <w:t>Project Goals</w:t>
      </w:r>
    </w:p>
    <w:p>
      <w:pPr>
        <w:spacing w:before="0" w:after="120" w:line="264" w:lineRule="auto"/>
      </w:pPr>
      <w:r>
        <w:rPr>
          <w:rFonts w:ascii="Calibri" w:hAnsi="Calibri"/>
          <w:color w:val="141E2D"/>
          <w:sz w:val="22"/>
        </w:rPr>
        <w:t>The goal is not to create another generic CRUD finance dashboard. The project should tell a stronger engineering story: privacy-first design, reliable local storage, bank statement import, rule-based automation, and optional AI features that operate on only the minimum necessary data.</w:t>
      </w:r>
    </w:p>
    <w:p>
      <w:pPr>
        <w:pStyle w:val="ListBullet"/>
        <w:spacing w:before="0" w:after="80" w:line="280" w:lineRule="auto"/>
      </w:pPr>
      <w:r>
        <w:rPr>
          <w:rFonts w:ascii="Calibri" w:hAnsi="Calibri"/>
          <w:color w:val="141E2D"/>
          <w:sz w:val="22"/>
        </w:rPr>
        <w:t>Provide a usable local finance tracker for income, expenses, accounts, imports, categories, and recurring transactions.</w:t>
      </w:r>
    </w:p>
    <w:p>
      <w:pPr>
        <w:pStyle w:val="ListBullet"/>
        <w:spacing w:before="0" w:after="80" w:line="280" w:lineRule="auto"/>
      </w:pPr>
      <w:r>
        <w:rPr>
          <w:rFonts w:ascii="Calibri" w:hAnsi="Calibri"/>
          <w:color w:val="141E2D"/>
          <w:sz w:val="22"/>
        </w:rPr>
        <w:t>Keep the application simple enough to finish, demo, and maintain without turning it into a large SaaS platform.</w:t>
      </w:r>
    </w:p>
    <w:p>
      <w:pPr>
        <w:pStyle w:val="ListBullet"/>
        <w:spacing w:before="0" w:after="80" w:line="280" w:lineRule="auto"/>
      </w:pPr>
      <w:r>
        <w:rPr>
          <w:rFonts w:ascii="Calibri" w:hAnsi="Calibri"/>
          <w:color w:val="141E2D"/>
          <w:sz w:val="22"/>
        </w:rPr>
        <w:t>Show backend discipline through typed boundaries, migrations, validation, modular services, and testable data access.</w:t>
      </w:r>
    </w:p>
    <w:p>
      <w:pPr>
        <w:pStyle w:val="ListBullet"/>
        <w:spacing w:before="0" w:after="80" w:line="280" w:lineRule="auto"/>
      </w:pPr>
      <w:r>
        <w:rPr>
          <w:rFonts w:ascii="Calibri" w:hAnsi="Calibri"/>
          <w:color w:val="141E2D"/>
          <w:sz w:val="22"/>
        </w:rPr>
        <w:t>Give the project a clear identity: no account required, no telemetry, no vendor lock-in, and full user control over data.</w:t>
      </w:r>
    </w:p>
    <w:p>
      <w:pPr>
        <w:pStyle w:val="Heading1"/>
        <w:spacing w:before="320" w:after="160"/>
      </w:pPr>
      <w:r>
        <w:rPr>
          <w:rFonts w:ascii="Calibri" w:hAnsi="Calibri"/>
          <w:b/>
          <w:color w:val="2E74B5"/>
          <w:sz w:val="32"/>
        </w:rPr>
        <w:t>Recommended Technology Stack</w:t>
      </w:r>
    </w:p>
    <w:tbl>
      <w:tblPr>
        <w:tblW w:type="dxa" w:w="9360"/>
        <w:tblLayout w:type="fixed"/>
        <w:tblLook w:firstColumn="1" w:firstRow="1" w:lastColumn="0" w:lastRow="0" w:noHBand="0" w:noVBand="1" w:val="04A0"/>
        <w:jc w:val="left"/>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1500"/>
        <w:gridCol w:w="2850"/>
        <w:gridCol w:w="5010"/>
      </w:tblGrid>
      <w:tr>
        <w:trPr>
          <w:tblHeader w:val="true"/>
        </w:trPr>
        <w:tc>
          <w:tcPr>
            <w:tcW w:type="dxa" w:w="1500"/>
            <w:tcMar>
              <w:top w:w="80" w:type="dxa"/>
              <w:start w:w="120" w:type="dxa"/>
              <w:bottom w:w="80" w:type="dxa"/>
              <w:end w:w="120" w:type="dxa"/>
            </w:tcMar>
            <w:vAlign w:val="center"/>
            <w:shd w:fill="F2F4F7"/>
          </w:tcPr>
          <w:p>
            <w:pPr>
              <w:spacing w:before="0" w:after="0" w:line="264" w:lineRule="auto"/>
            </w:pPr>
            <w:r>
              <w:rPr>
                <w:rFonts w:ascii="Calibri" w:hAnsi="Calibri"/>
                <w:b/>
                <w:color w:val="1F4D78"/>
                <w:sz w:val="20"/>
              </w:rPr>
              <w:t>Layer</w:t>
            </w:r>
          </w:p>
        </w:tc>
        <w:tc>
          <w:tcPr>
            <w:tcW w:type="dxa" w:w="2850"/>
            <w:tcMar>
              <w:top w:w="80" w:type="dxa"/>
              <w:start w:w="120" w:type="dxa"/>
              <w:bottom w:w="80" w:type="dxa"/>
              <w:end w:w="120" w:type="dxa"/>
            </w:tcMar>
            <w:vAlign w:val="center"/>
            <w:shd w:fill="F2F4F7"/>
          </w:tcPr>
          <w:p>
            <w:pPr>
              <w:spacing w:before="0" w:after="0" w:line="264" w:lineRule="auto"/>
            </w:pPr>
            <w:r>
              <w:rPr>
                <w:rFonts w:ascii="Calibri" w:hAnsi="Calibri"/>
                <w:b/>
                <w:color w:val="1F4D78"/>
                <w:sz w:val="20"/>
              </w:rPr>
              <w:t>Recommendation</w:t>
            </w:r>
          </w:p>
        </w:tc>
        <w:tc>
          <w:tcPr>
            <w:tcW w:type="dxa" w:w="5010"/>
            <w:tcMar>
              <w:top w:w="80" w:type="dxa"/>
              <w:start w:w="120" w:type="dxa"/>
              <w:bottom w:w="80" w:type="dxa"/>
              <w:end w:w="120" w:type="dxa"/>
            </w:tcMar>
            <w:vAlign w:val="center"/>
            <w:shd w:fill="F2F4F7"/>
          </w:tcPr>
          <w:p>
            <w:pPr>
              <w:spacing w:before="0" w:after="0" w:line="264" w:lineRule="auto"/>
            </w:pPr>
            <w:r>
              <w:rPr>
                <w:rFonts w:ascii="Calibri" w:hAnsi="Calibri"/>
                <w:b/>
                <w:color w:val="1F4D78"/>
                <w:sz w:val="20"/>
              </w:rPr>
              <w:t>Reason</w:t>
            </w:r>
          </w:p>
        </w:tc>
      </w:tr>
      <w:tr>
        <w:tc>
          <w:tcPr>
            <w:tcW w:type="dxa" w:w="1500"/>
            <w:tcMar>
              <w:top w:w="80" w:type="dxa"/>
              <w:start w:w="120" w:type="dxa"/>
              <w:bottom w:w="80" w:type="dxa"/>
              <w:end w:w="120" w:type="dxa"/>
            </w:tcMar>
            <w:vAlign w:val="center"/>
          </w:tcPr>
          <w:p>
            <w:pPr>
              <w:spacing w:before="0" w:after="0" w:line="264" w:lineRule="auto"/>
            </w:pPr>
            <w:r>
              <w:rPr>
                <w:rFonts w:ascii="Calibri" w:hAnsi="Calibri"/>
                <w:color w:val="141E2D"/>
                <w:sz w:val="20"/>
              </w:rPr>
              <w:t>Frontend</w:t>
            </w:r>
          </w:p>
        </w:tc>
        <w:tc>
          <w:tcPr>
            <w:tcW w:type="dxa" w:w="2850"/>
            <w:tcMar>
              <w:top w:w="80" w:type="dxa"/>
              <w:start w:w="120" w:type="dxa"/>
              <w:bottom w:w="80" w:type="dxa"/>
              <w:end w:w="120" w:type="dxa"/>
            </w:tcMar>
            <w:vAlign w:val="center"/>
          </w:tcPr>
          <w:p>
            <w:pPr>
              <w:spacing w:before="0" w:after="0" w:line="264" w:lineRule="auto"/>
            </w:pPr>
            <w:r>
              <w:rPr>
                <w:rFonts w:ascii="Calibri" w:hAnsi="Calibri"/>
                <w:color w:val="141E2D"/>
                <w:sz w:val="20"/>
              </w:rPr>
              <w:t>React + Vite + TypeScript</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141E2D"/>
                <w:sz w:val="20"/>
              </w:rPr>
              <w:t>Fast local development, clean separation from the API, and less framework overhead than Next.js.</w:t>
            </w:r>
          </w:p>
        </w:tc>
      </w:tr>
      <w:tr>
        <w:tc>
          <w:tcPr>
            <w:tcW w:type="dxa" w:w="1500"/>
            <w:tcMar>
              <w:top w:w="80" w:type="dxa"/>
              <w:start w:w="120" w:type="dxa"/>
              <w:bottom w:w="80" w:type="dxa"/>
              <w:end w:w="120" w:type="dxa"/>
            </w:tcMar>
            <w:vAlign w:val="center"/>
          </w:tcPr>
          <w:p>
            <w:pPr>
              <w:spacing w:before="0" w:after="0" w:line="264" w:lineRule="auto"/>
            </w:pPr>
            <w:r>
              <w:rPr>
                <w:rFonts w:ascii="Calibri" w:hAnsi="Calibri"/>
                <w:color w:val="141E2D"/>
                <w:sz w:val="20"/>
              </w:rPr>
              <w:t>Backend</w:t>
            </w:r>
          </w:p>
        </w:tc>
        <w:tc>
          <w:tcPr>
            <w:tcW w:type="dxa" w:w="2850"/>
            <w:tcMar>
              <w:top w:w="80" w:type="dxa"/>
              <w:start w:w="120" w:type="dxa"/>
              <w:bottom w:w="80" w:type="dxa"/>
              <w:end w:w="120" w:type="dxa"/>
            </w:tcMar>
            <w:vAlign w:val="center"/>
          </w:tcPr>
          <w:p>
            <w:pPr>
              <w:spacing w:before="0" w:after="0" w:line="264" w:lineRule="auto"/>
            </w:pPr>
            <w:r>
              <w:rPr>
                <w:rFonts w:ascii="Calibri" w:hAnsi="Calibri"/>
                <w:color w:val="141E2D"/>
                <w:sz w:val="20"/>
              </w:rPr>
              <w:t>Express + TypeScript</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141E2D"/>
                <w:sz w:val="20"/>
              </w:rPr>
              <w:t>Simple REST API shape, familiar middleware model, and strong interview signal for backend roles.</w:t>
            </w:r>
          </w:p>
        </w:tc>
      </w:tr>
      <w:tr>
        <w:tc>
          <w:tcPr>
            <w:tcW w:type="dxa" w:w="1500"/>
            <w:tcMar>
              <w:top w:w="80" w:type="dxa"/>
              <w:start w:w="120" w:type="dxa"/>
              <w:bottom w:w="80" w:type="dxa"/>
              <w:end w:w="120" w:type="dxa"/>
            </w:tcMar>
            <w:vAlign w:val="center"/>
          </w:tcPr>
          <w:p>
            <w:pPr>
              <w:spacing w:before="0" w:after="0" w:line="264" w:lineRule="auto"/>
            </w:pPr>
            <w:r>
              <w:rPr>
                <w:rFonts w:ascii="Calibri" w:hAnsi="Calibri"/>
                <w:color w:val="141E2D"/>
                <w:sz w:val="20"/>
              </w:rPr>
              <w:t>Database</w:t>
            </w:r>
          </w:p>
        </w:tc>
        <w:tc>
          <w:tcPr>
            <w:tcW w:type="dxa" w:w="2850"/>
            <w:tcMar>
              <w:top w:w="80" w:type="dxa"/>
              <w:start w:w="120" w:type="dxa"/>
              <w:bottom w:w="80" w:type="dxa"/>
              <w:end w:w="120" w:type="dxa"/>
            </w:tcMar>
            <w:vAlign w:val="center"/>
          </w:tcPr>
          <w:p>
            <w:pPr>
              <w:spacing w:before="0" w:after="0" w:line="264" w:lineRule="auto"/>
            </w:pPr>
            <w:r>
              <w:rPr>
                <w:rFonts w:ascii="Calibri" w:hAnsi="Calibri"/>
                <w:color w:val="141E2D"/>
                <w:sz w:val="20"/>
              </w:rPr>
              <w:t>SQLite</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141E2D"/>
                <w:sz w:val="20"/>
              </w:rPr>
              <w:t>Ideal for a single-user local-first app: fast, durable, portable, zero-install, and easy to back up.</w:t>
            </w:r>
          </w:p>
        </w:tc>
      </w:tr>
      <w:tr>
        <w:tc>
          <w:tcPr>
            <w:tcW w:type="dxa" w:w="1500"/>
            <w:tcMar>
              <w:top w:w="80" w:type="dxa"/>
              <w:start w:w="120" w:type="dxa"/>
              <w:bottom w:w="80" w:type="dxa"/>
              <w:end w:w="120" w:type="dxa"/>
            </w:tcMar>
            <w:vAlign w:val="center"/>
          </w:tcPr>
          <w:p>
            <w:pPr>
              <w:spacing w:before="0" w:after="0" w:line="264" w:lineRule="auto"/>
            </w:pPr>
            <w:r>
              <w:rPr>
                <w:rFonts w:ascii="Calibri" w:hAnsi="Calibri"/>
                <w:color w:val="141E2D"/>
                <w:sz w:val="20"/>
              </w:rPr>
              <w:t>ORM</w:t>
            </w:r>
          </w:p>
        </w:tc>
        <w:tc>
          <w:tcPr>
            <w:tcW w:type="dxa" w:w="2850"/>
            <w:tcMar>
              <w:top w:w="80" w:type="dxa"/>
              <w:start w:w="120" w:type="dxa"/>
              <w:bottom w:w="80" w:type="dxa"/>
              <w:end w:w="120" w:type="dxa"/>
            </w:tcMar>
            <w:vAlign w:val="center"/>
          </w:tcPr>
          <w:p>
            <w:pPr>
              <w:spacing w:before="0" w:after="0" w:line="264" w:lineRule="auto"/>
            </w:pPr>
            <w:r>
              <w:rPr>
                <w:rFonts w:ascii="Calibri" w:hAnsi="Calibri"/>
                <w:color w:val="141E2D"/>
                <w:sz w:val="20"/>
              </w:rPr>
              <w:t>Drizzle ORM</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141E2D"/>
                <w:sz w:val="20"/>
              </w:rPr>
              <w:t>Schema safety, migrations, lightweight TypeScript integration, and less ceremony than heavier ORMs.</w:t>
            </w:r>
          </w:p>
        </w:tc>
      </w:tr>
      <w:tr>
        <w:tc>
          <w:tcPr>
            <w:tcW w:type="dxa" w:w="1500"/>
            <w:tcMar>
              <w:top w:w="80" w:type="dxa"/>
              <w:start w:w="120" w:type="dxa"/>
              <w:bottom w:w="80" w:type="dxa"/>
              <w:end w:w="120" w:type="dxa"/>
            </w:tcMar>
            <w:vAlign w:val="center"/>
          </w:tcPr>
          <w:p>
            <w:pPr>
              <w:spacing w:before="0" w:after="0" w:line="264" w:lineRule="auto"/>
            </w:pPr>
            <w:r>
              <w:rPr>
                <w:rFonts w:ascii="Calibri" w:hAnsi="Calibri"/>
                <w:color w:val="141E2D"/>
                <w:sz w:val="20"/>
              </w:rPr>
              <w:t>Validation</w:t>
            </w:r>
          </w:p>
        </w:tc>
        <w:tc>
          <w:tcPr>
            <w:tcW w:type="dxa" w:w="2850"/>
            <w:tcMar>
              <w:top w:w="80" w:type="dxa"/>
              <w:start w:w="120" w:type="dxa"/>
              <w:bottom w:w="80" w:type="dxa"/>
              <w:end w:w="120" w:type="dxa"/>
            </w:tcMar>
            <w:vAlign w:val="center"/>
          </w:tcPr>
          <w:p>
            <w:pPr>
              <w:spacing w:before="0" w:after="0" w:line="264" w:lineRule="auto"/>
            </w:pPr>
            <w:r>
              <w:rPr>
                <w:rFonts w:ascii="Calibri" w:hAnsi="Calibri"/>
                <w:color w:val="141E2D"/>
                <w:sz w:val="20"/>
              </w:rPr>
              <w:t>Zod</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141E2D"/>
                <w:sz w:val="20"/>
              </w:rPr>
              <w:t>Clear runtime validation for request bodies, CSV rows, AI outputs, and environment/configuration values.</w:t>
            </w:r>
          </w:p>
        </w:tc>
      </w:tr>
      <w:tr>
        <w:tc>
          <w:tcPr>
            <w:tcW w:type="dxa" w:w="1500"/>
            <w:tcMar>
              <w:top w:w="80" w:type="dxa"/>
              <w:start w:w="120" w:type="dxa"/>
              <w:bottom w:w="80" w:type="dxa"/>
              <w:end w:w="120" w:type="dxa"/>
            </w:tcMar>
            <w:vAlign w:val="center"/>
          </w:tcPr>
          <w:p>
            <w:pPr>
              <w:spacing w:before="0" w:after="0" w:line="264" w:lineRule="auto"/>
            </w:pPr>
            <w:r>
              <w:rPr>
                <w:rFonts w:ascii="Calibri" w:hAnsi="Calibri"/>
                <w:color w:val="141E2D"/>
                <w:sz w:val="20"/>
              </w:rPr>
              <w:t>Packaging</w:t>
            </w:r>
          </w:p>
        </w:tc>
        <w:tc>
          <w:tcPr>
            <w:tcW w:type="dxa" w:w="2850"/>
            <w:tcMar>
              <w:top w:w="80" w:type="dxa"/>
              <w:start w:w="120" w:type="dxa"/>
              <w:bottom w:w="80" w:type="dxa"/>
              <w:end w:w="120" w:type="dxa"/>
            </w:tcMar>
            <w:vAlign w:val="center"/>
          </w:tcPr>
          <w:p>
            <w:pPr>
              <w:spacing w:before="0" w:after="0" w:line="264" w:lineRule="auto"/>
            </w:pPr>
            <w:r>
              <w:rPr>
                <w:rFonts w:ascii="Calibri" w:hAnsi="Calibri"/>
                <w:color w:val="141E2D"/>
                <w:sz w:val="20"/>
              </w:rPr>
              <w:t>Docker</w:t>
            </w:r>
          </w:p>
        </w:tc>
        <w:tc>
          <w:tcPr>
            <w:tcW w:type="dxa" w:w="5010"/>
            <w:tcMar>
              <w:top w:w="80" w:type="dxa"/>
              <w:start w:w="120" w:type="dxa"/>
              <w:bottom w:w="80" w:type="dxa"/>
              <w:end w:w="120" w:type="dxa"/>
            </w:tcMar>
            <w:vAlign w:val="center"/>
          </w:tcPr>
          <w:p>
            <w:pPr>
              <w:spacing w:before="0" w:after="0" w:line="264" w:lineRule="auto"/>
            </w:pPr>
            <w:r>
              <w:rPr>
                <w:rFonts w:ascii="Calibri" w:hAnsi="Calibri"/>
                <w:color w:val="141E2D"/>
                <w:sz w:val="20"/>
              </w:rPr>
              <w:t>Repeatable local setup and a cleaner demo story for reviewers.</w:t>
            </w:r>
          </w:p>
        </w:tc>
      </w:tr>
    </w:tbl>
    <w:p>
      <w:pPr>
        <w:spacing w:after="80"/>
      </w:pPr>
    </w:p>
    <w:p>
      <w:pPr>
        <w:pStyle w:val="Heading1"/>
        <w:spacing w:before="320" w:after="160"/>
      </w:pPr>
      <w:r>
        <w:rPr>
          <w:rFonts w:ascii="Calibri" w:hAnsi="Calibri"/>
          <w:b/>
          <w:color w:val="2E74B5"/>
          <w:sz w:val="32"/>
        </w:rPr>
        <w:t>Repository Structure</w:t>
      </w:r>
    </w:p>
    <w:p>
      <w:pPr>
        <w:spacing w:before="0" w:after="120" w:line="264" w:lineRule="auto"/>
      </w:pPr>
      <w:r>
        <w:rPr>
          <w:rFonts w:ascii="Calibri" w:hAnsi="Calibri"/>
          <w:color w:val="141E2D"/>
          <w:sz w:val="22"/>
        </w:rPr>
        <w:t>For the initial version, keep the repository understandable. A frontend/backend split is the best starting point. A larger packages-based monorepo can be introduced later if reusable modules become valuable.</w:t>
      </w:r>
    </w:p>
    <w:tbl>
      <w:tblPr>
        <w:tblW w:type="dxa" w:w="9360"/>
        <w:tblLayout w:type="fixed"/>
        <w:tblLook w:firstColumn="1" w:firstRow="1" w:lastColumn="0" w:lastRow="0" w:noHBand="0" w:noVBand="1" w:val="04A0"/>
        <w:jc w:val="left"/>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300"/>
        <w:gridCol w:w="7060"/>
      </w:tblGrid>
      <w:tr>
        <w:trPr>
          <w:tblHeader w:val="true"/>
        </w:trPr>
        <w:tc>
          <w:tcPr>
            <w:tcW w:type="dxa" w:w="2300"/>
            <w:tcMar>
              <w:top w:w="80" w:type="dxa"/>
              <w:start w:w="120" w:type="dxa"/>
              <w:bottom w:w="80" w:type="dxa"/>
              <w:end w:w="120" w:type="dxa"/>
            </w:tcMar>
            <w:vAlign w:val="center"/>
            <w:shd w:fill="F2F4F7"/>
          </w:tcPr>
          <w:p>
            <w:pPr>
              <w:spacing w:before="0" w:after="0" w:line="264" w:lineRule="auto"/>
            </w:pPr>
            <w:r>
              <w:rPr>
                <w:rFonts w:ascii="Calibri" w:hAnsi="Calibri"/>
                <w:b/>
                <w:color w:val="1F4D78"/>
                <w:sz w:val="20"/>
              </w:rPr>
              <w:t>Path</w:t>
            </w:r>
          </w:p>
        </w:tc>
        <w:tc>
          <w:tcPr>
            <w:tcW w:type="dxa" w:w="7060"/>
            <w:tcMar>
              <w:top w:w="80" w:type="dxa"/>
              <w:start w:w="120" w:type="dxa"/>
              <w:bottom w:w="80" w:type="dxa"/>
              <w:end w:w="120" w:type="dxa"/>
            </w:tcMar>
            <w:vAlign w:val="center"/>
            <w:shd w:fill="F2F4F7"/>
          </w:tcPr>
          <w:p>
            <w:pPr>
              <w:spacing w:before="0" w:after="0" w:line="264" w:lineRule="auto"/>
            </w:pPr>
            <w:r>
              <w:rPr>
                <w:rFonts w:ascii="Calibri" w:hAnsi="Calibri"/>
                <w:b/>
                <w:color w:val="1F4D78"/>
                <w:sz w:val="20"/>
              </w:rPr>
              <w:t>Purpose</w:t>
            </w:r>
          </w:p>
        </w:tc>
      </w:tr>
      <w:tr>
        <w:tc>
          <w:tcPr>
            <w:tcW w:type="dxa" w:w="2300"/>
            <w:tcMar>
              <w:top w:w="80" w:type="dxa"/>
              <w:start w:w="120" w:type="dxa"/>
              <w:bottom w:w="80" w:type="dxa"/>
              <w:end w:w="120" w:type="dxa"/>
            </w:tcMar>
            <w:vAlign w:val="center"/>
          </w:tcPr>
          <w:p>
            <w:pPr>
              <w:spacing w:before="0" w:after="0" w:line="264" w:lineRule="auto"/>
            </w:pPr>
            <w:r>
              <w:rPr>
                <w:rFonts w:ascii="Calibri" w:hAnsi="Calibri"/>
                <w:color w:val="141E2D"/>
                <w:sz w:val="20"/>
              </w:rPr>
              <w:t>frontend/</w:t>
            </w:r>
          </w:p>
        </w:tc>
        <w:tc>
          <w:tcPr>
            <w:tcW w:type="dxa" w:w="7060"/>
            <w:tcMar>
              <w:top w:w="80" w:type="dxa"/>
              <w:start w:w="120" w:type="dxa"/>
              <w:bottom w:w="80" w:type="dxa"/>
              <w:end w:w="120" w:type="dxa"/>
            </w:tcMar>
            <w:vAlign w:val="center"/>
          </w:tcPr>
          <w:p>
            <w:pPr>
              <w:spacing w:before="0" w:after="0" w:line="264" w:lineRule="auto"/>
            </w:pPr>
            <w:r>
              <w:rPr>
                <w:rFonts w:ascii="Calibri" w:hAnsi="Calibri"/>
                <w:color w:val="141E2D"/>
                <w:sz w:val="20"/>
              </w:rPr>
              <w:t>React + Vite application, route-level pages, components, hooks, and client API wrappers.</w:t>
            </w:r>
          </w:p>
        </w:tc>
      </w:tr>
      <w:tr>
        <w:tc>
          <w:tcPr>
            <w:tcW w:type="dxa" w:w="2300"/>
            <w:tcMar>
              <w:top w:w="80" w:type="dxa"/>
              <w:start w:w="120" w:type="dxa"/>
              <w:bottom w:w="80" w:type="dxa"/>
              <w:end w:w="120" w:type="dxa"/>
            </w:tcMar>
            <w:vAlign w:val="center"/>
          </w:tcPr>
          <w:p>
            <w:pPr>
              <w:spacing w:before="0" w:after="0" w:line="264" w:lineRule="auto"/>
            </w:pPr>
            <w:r>
              <w:rPr>
                <w:rFonts w:ascii="Calibri" w:hAnsi="Calibri"/>
                <w:color w:val="141E2D"/>
                <w:sz w:val="20"/>
              </w:rPr>
              <w:t>backend/</w:t>
            </w:r>
          </w:p>
        </w:tc>
        <w:tc>
          <w:tcPr>
            <w:tcW w:type="dxa" w:w="7060"/>
            <w:tcMar>
              <w:top w:w="80" w:type="dxa"/>
              <w:start w:w="120" w:type="dxa"/>
              <w:bottom w:w="80" w:type="dxa"/>
              <w:end w:w="120" w:type="dxa"/>
            </w:tcMar>
            <w:vAlign w:val="center"/>
          </w:tcPr>
          <w:p>
            <w:pPr>
              <w:spacing w:before="0" w:after="0" w:line="264" w:lineRule="auto"/>
            </w:pPr>
            <w:r>
              <w:rPr>
                <w:rFonts w:ascii="Calibri" w:hAnsi="Calibri"/>
                <w:color w:val="141E2D"/>
                <w:sz w:val="20"/>
              </w:rPr>
              <w:t>Express API, services, repositories, database migrations, validation schemas, and middleware.</w:t>
            </w:r>
          </w:p>
        </w:tc>
      </w:tr>
      <w:tr>
        <w:tc>
          <w:tcPr>
            <w:tcW w:type="dxa" w:w="2300"/>
            <w:tcMar>
              <w:top w:w="80" w:type="dxa"/>
              <w:start w:w="120" w:type="dxa"/>
              <w:bottom w:w="80" w:type="dxa"/>
              <w:end w:w="120" w:type="dxa"/>
            </w:tcMar>
            <w:vAlign w:val="center"/>
          </w:tcPr>
          <w:p>
            <w:pPr>
              <w:spacing w:before="0" w:after="0" w:line="264" w:lineRule="auto"/>
            </w:pPr>
            <w:r>
              <w:rPr>
                <w:rFonts w:ascii="Calibri" w:hAnsi="Calibri"/>
                <w:color w:val="141E2D"/>
                <w:sz w:val="20"/>
              </w:rPr>
              <w:t>docs/</w:t>
            </w:r>
          </w:p>
        </w:tc>
        <w:tc>
          <w:tcPr>
            <w:tcW w:type="dxa" w:w="7060"/>
            <w:tcMar>
              <w:top w:w="80" w:type="dxa"/>
              <w:start w:w="120" w:type="dxa"/>
              <w:bottom w:w="80" w:type="dxa"/>
              <w:end w:w="120" w:type="dxa"/>
            </w:tcMar>
            <w:vAlign w:val="center"/>
          </w:tcPr>
          <w:p>
            <w:pPr>
              <w:spacing w:before="0" w:after="0" w:line="264" w:lineRule="auto"/>
            </w:pPr>
            <w:r>
              <w:rPr>
                <w:rFonts w:ascii="Calibri" w:hAnsi="Calibri"/>
                <w:color w:val="141E2D"/>
                <w:sz w:val="20"/>
              </w:rPr>
              <w:t>Architecture notes, import format documentation, API examples, and project decisions.</w:t>
            </w:r>
          </w:p>
        </w:tc>
      </w:tr>
      <w:tr>
        <w:tc>
          <w:tcPr>
            <w:tcW w:type="dxa" w:w="2300"/>
            <w:tcMar>
              <w:top w:w="80" w:type="dxa"/>
              <w:start w:w="120" w:type="dxa"/>
              <w:bottom w:w="80" w:type="dxa"/>
              <w:end w:w="120" w:type="dxa"/>
            </w:tcMar>
            <w:vAlign w:val="center"/>
          </w:tcPr>
          <w:p>
            <w:pPr>
              <w:spacing w:before="0" w:after="0" w:line="264" w:lineRule="auto"/>
            </w:pPr>
            <w:r>
              <w:rPr>
                <w:rFonts w:ascii="Calibri" w:hAnsi="Calibri"/>
                <w:color w:val="141E2D"/>
                <w:sz w:val="20"/>
              </w:rPr>
              <w:t>docker/</w:t>
            </w:r>
          </w:p>
        </w:tc>
        <w:tc>
          <w:tcPr>
            <w:tcW w:type="dxa" w:w="7060"/>
            <w:tcMar>
              <w:top w:w="80" w:type="dxa"/>
              <w:start w:w="120" w:type="dxa"/>
              <w:bottom w:w="80" w:type="dxa"/>
              <w:end w:w="120" w:type="dxa"/>
            </w:tcMar>
            <w:vAlign w:val="center"/>
          </w:tcPr>
          <w:p>
            <w:pPr>
              <w:spacing w:before="0" w:after="0" w:line="264" w:lineRule="auto"/>
            </w:pPr>
            <w:r>
              <w:rPr>
                <w:rFonts w:ascii="Calibri" w:hAnsi="Calibri"/>
                <w:color w:val="141E2D"/>
                <w:sz w:val="20"/>
              </w:rPr>
              <w:t>Dockerfile, compose configuration, and runtime packaging helpers.</w:t>
            </w:r>
          </w:p>
        </w:tc>
      </w:tr>
      <w:tr>
        <w:tc>
          <w:tcPr>
            <w:tcW w:type="dxa" w:w="2300"/>
            <w:tcMar>
              <w:top w:w="80" w:type="dxa"/>
              <w:start w:w="120" w:type="dxa"/>
              <w:bottom w:w="80" w:type="dxa"/>
              <w:end w:w="120" w:type="dxa"/>
            </w:tcMar>
            <w:vAlign w:val="center"/>
          </w:tcPr>
          <w:p>
            <w:pPr>
              <w:spacing w:before="0" w:after="0" w:line="264" w:lineRule="auto"/>
            </w:pPr>
            <w:r>
              <w:rPr>
                <w:rFonts w:ascii="Calibri" w:hAnsi="Calibri"/>
                <w:color w:val="141E2D"/>
                <w:sz w:val="20"/>
              </w:rPr>
              <w:t>.github/</w:t>
            </w:r>
          </w:p>
        </w:tc>
        <w:tc>
          <w:tcPr>
            <w:tcW w:type="dxa" w:w="7060"/>
            <w:tcMar>
              <w:top w:w="80" w:type="dxa"/>
              <w:start w:w="120" w:type="dxa"/>
              <w:bottom w:w="80" w:type="dxa"/>
              <w:end w:w="120" w:type="dxa"/>
            </w:tcMar>
            <w:vAlign w:val="center"/>
          </w:tcPr>
          <w:p>
            <w:pPr>
              <w:spacing w:before="0" w:after="0" w:line="264" w:lineRule="auto"/>
            </w:pPr>
            <w:r>
              <w:rPr>
                <w:rFonts w:ascii="Calibri" w:hAnsi="Calibri"/>
                <w:color w:val="141E2D"/>
                <w:sz w:val="20"/>
              </w:rPr>
              <w:t>CI workflows, issue templates, and contribution automation.</w:t>
            </w:r>
          </w:p>
        </w:tc>
      </w:tr>
    </w:tbl>
    <w:p>
      <w:pPr>
        <w:spacing w:after="80"/>
      </w:pPr>
    </w:p>
    <w:p>
      <w:pPr>
        <w:spacing w:before="0" w:after="120" w:line="264" w:lineRule="auto"/>
      </w:pPr>
      <w:r>
        <w:rPr>
          <w:rFonts w:ascii="Calibri" w:hAnsi="Calibri"/>
          <w:color w:val="141E2D"/>
          <w:sz w:val="22"/>
        </w:rPr>
        <w:t>If the application grows, the future structure can move toward apps/web, apps/server, packages/database, packages/ai, packages/shared, packages/csv-parser, and packages/rules-engine. That refactor should happen after core functionality is stable, not before.</w:t>
      </w:r>
    </w:p>
    <w:p>
      <w:pPr>
        <w:pStyle w:val="Heading1"/>
        <w:spacing w:before="320" w:after="160"/>
      </w:pPr>
      <w:r>
        <w:rPr>
          <w:rFonts w:ascii="Calibri" w:hAnsi="Calibri"/>
          <w:b/>
          <w:color w:val="2E74B5"/>
          <w:sz w:val="32"/>
        </w:rPr>
        <w:t>Backend Architecture</w:t>
      </w:r>
    </w:p>
    <w:p>
      <w:pPr>
        <w:spacing w:before="0" w:after="120" w:line="264" w:lineRule="auto"/>
      </w:pPr>
      <w:r>
        <w:rPr>
          <w:rFonts w:ascii="Calibri" w:hAnsi="Calibri"/>
          <w:color w:val="141E2D"/>
          <w:sz w:val="22"/>
        </w:rPr>
        <w:t>The backend should use a layered architecture so each part has a clear responsibility. This makes the code easier to reason about and gives interviewers a concrete example of maintainable service design.</w:t>
      </w:r>
    </w:p>
    <w:tbl>
      <w:tblPr>
        <w:tblW w:type="dxa" w:w="9360"/>
        <w:tblLayout w:type="fixed"/>
        <w:tblLook w:firstColumn="1" w:firstRow="1" w:lastColumn="0" w:lastRow="0" w:noHBand="0" w:noVBand="1" w:val="04A0"/>
        <w:jc w:val="left"/>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1900"/>
        <w:gridCol w:w="7460"/>
      </w:tblGrid>
      <w:tr>
        <w:trPr>
          <w:tblHeader w:val="true"/>
        </w:trPr>
        <w:tc>
          <w:tcPr>
            <w:tcW w:type="dxa" w:w="1900"/>
            <w:tcMar>
              <w:top w:w="80" w:type="dxa"/>
              <w:start w:w="120" w:type="dxa"/>
              <w:bottom w:w="80" w:type="dxa"/>
              <w:end w:w="120" w:type="dxa"/>
            </w:tcMar>
            <w:vAlign w:val="center"/>
            <w:shd w:fill="F2F4F7"/>
          </w:tcPr>
          <w:p>
            <w:pPr>
              <w:spacing w:before="0" w:after="0" w:line="264" w:lineRule="auto"/>
            </w:pPr>
            <w:r>
              <w:rPr>
                <w:rFonts w:ascii="Calibri" w:hAnsi="Calibri"/>
                <w:b/>
                <w:color w:val="1F4D78"/>
                <w:sz w:val="20"/>
              </w:rPr>
              <w:t>Layer</w:t>
            </w:r>
          </w:p>
        </w:tc>
        <w:tc>
          <w:tcPr>
            <w:tcW w:type="dxa" w:w="7460"/>
            <w:tcMar>
              <w:top w:w="80" w:type="dxa"/>
              <w:start w:w="120" w:type="dxa"/>
              <w:bottom w:w="80" w:type="dxa"/>
              <w:end w:w="120" w:type="dxa"/>
            </w:tcMar>
            <w:vAlign w:val="center"/>
            <w:shd w:fill="F2F4F7"/>
          </w:tcPr>
          <w:p>
            <w:pPr>
              <w:spacing w:before="0" w:after="0" w:line="264" w:lineRule="auto"/>
            </w:pPr>
            <w:r>
              <w:rPr>
                <w:rFonts w:ascii="Calibri" w:hAnsi="Calibri"/>
                <w:b/>
                <w:color w:val="1F4D78"/>
                <w:sz w:val="20"/>
              </w:rPr>
              <w:t>Responsibility</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color w:val="141E2D"/>
                <w:sz w:val="20"/>
              </w:rPr>
              <w:t>Routes</w:t>
            </w:r>
          </w:p>
        </w:tc>
        <w:tc>
          <w:tcPr>
            <w:tcW w:type="dxa" w:w="7460"/>
            <w:tcMar>
              <w:top w:w="80" w:type="dxa"/>
              <w:start w:w="120" w:type="dxa"/>
              <w:bottom w:w="80" w:type="dxa"/>
              <w:end w:w="120" w:type="dxa"/>
            </w:tcMar>
            <w:vAlign w:val="center"/>
          </w:tcPr>
          <w:p>
            <w:pPr>
              <w:spacing w:before="0" w:after="0" w:line="264" w:lineRule="auto"/>
            </w:pPr>
            <w:r>
              <w:rPr>
                <w:rFonts w:ascii="Calibri" w:hAnsi="Calibri"/>
                <w:color w:val="141E2D"/>
                <w:sz w:val="20"/>
              </w:rPr>
              <w:t>Map HTTP methods and paths to controllers. Keep routes thin and declarative.</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color w:val="141E2D"/>
                <w:sz w:val="20"/>
              </w:rPr>
              <w:t>Controllers</w:t>
            </w:r>
          </w:p>
        </w:tc>
        <w:tc>
          <w:tcPr>
            <w:tcW w:type="dxa" w:w="7460"/>
            <w:tcMar>
              <w:top w:w="80" w:type="dxa"/>
              <w:start w:w="120" w:type="dxa"/>
              <w:bottom w:w="80" w:type="dxa"/>
              <w:end w:w="120" w:type="dxa"/>
            </w:tcMar>
            <w:vAlign w:val="center"/>
          </w:tcPr>
          <w:p>
            <w:pPr>
              <w:spacing w:before="0" w:after="0" w:line="264" w:lineRule="auto"/>
            </w:pPr>
            <w:r>
              <w:rPr>
                <w:rFonts w:ascii="Calibri" w:hAnsi="Calibri"/>
                <w:color w:val="141E2D"/>
                <w:sz w:val="20"/>
              </w:rPr>
              <w:t>Handle request parsing, response status codes, and orchestration of service calls.</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color w:val="141E2D"/>
                <w:sz w:val="20"/>
              </w:rPr>
              <w:t>Services</w:t>
            </w:r>
          </w:p>
        </w:tc>
        <w:tc>
          <w:tcPr>
            <w:tcW w:type="dxa" w:w="7460"/>
            <w:tcMar>
              <w:top w:w="80" w:type="dxa"/>
              <w:start w:w="120" w:type="dxa"/>
              <w:bottom w:w="80" w:type="dxa"/>
              <w:end w:w="120" w:type="dxa"/>
            </w:tcMar>
            <w:vAlign w:val="center"/>
          </w:tcPr>
          <w:p>
            <w:pPr>
              <w:spacing w:before="0" w:after="0" w:line="264" w:lineRule="auto"/>
            </w:pPr>
            <w:r>
              <w:rPr>
                <w:rFonts w:ascii="Calibri" w:hAnsi="Calibri"/>
                <w:color w:val="141E2D"/>
                <w:sz w:val="20"/>
              </w:rPr>
              <w:t>Own business logic such as categorization, duplicate checks, recurring detection, and import workflows.</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color w:val="141E2D"/>
                <w:sz w:val="20"/>
              </w:rPr>
              <w:t>Repositories</w:t>
            </w:r>
          </w:p>
        </w:tc>
        <w:tc>
          <w:tcPr>
            <w:tcW w:type="dxa" w:w="7460"/>
            <w:tcMar>
              <w:top w:w="80" w:type="dxa"/>
              <w:start w:w="120" w:type="dxa"/>
              <w:bottom w:w="80" w:type="dxa"/>
              <w:end w:w="120" w:type="dxa"/>
            </w:tcMar>
            <w:vAlign w:val="center"/>
          </w:tcPr>
          <w:p>
            <w:pPr>
              <w:spacing w:before="0" w:after="0" w:line="264" w:lineRule="auto"/>
            </w:pPr>
            <w:r>
              <w:rPr>
                <w:rFonts w:ascii="Calibri" w:hAnsi="Calibri"/>
                <w:color w:val="141E2D"/>
                <w:sz w:val="20"/>
              </w:rPr>
              <w:t>Provide focused database access methods and hide SQL/ORM details from services.</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color w:val="141E2D"/>
                <w:sz w:val="20"/>
              </w:rPr>
              <w:t>Database</w:t>
            </w:r>
          </w:p>
        </w:tc>
        <w:tc>
          <w:tcPr>
            <w:tcW w:type="dxa" w:w="7460"/>
            <w:tcMar>
              <w:top w:w="80" w:type="dxa"/>
              <w:start w:w="120" w:type="dxa"/>
              <w:bottom w:w="80" w:type="dxa"/>
              <w:end w:w="120" w:type="dxa"/>
            </w:tcMar>
            <w:vAlign w:val="center"/>
          </w:tcPr>
          <w:p>
            <w:pPr>
              <w:spacing w:before="0" w:after="0" w:line="264" w:lineRule="auto"/>
            </w:pPr>
            <w:r>
              <w:rPr>
                <w:rFonts w:ascii="Calibri" w:hAnsi="Calibri"/>
                <w:color w:val="141E2D"/>
                <w:sz w:val="20"/>
              </w:rPr>
              <w:t>Maintain Drizzle schemas, migrations, indexes, constraints, and seed/dev utilities.</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color w:val="141E2D"/>
                <w:sz w:val="20"/>
              </w:rPr>
              <w:t>Middleware</w:t>
            </w:r>
          </w:p>
        </w:tc>
        <w:tc>
          <w:tcPr>
            <w:tcW w:type="dxa" w:w="7460"/>
            <w:tcMar>
              <w:top w:w="80" w:type="dxa"/>
              <w:start w:w="120" w:type="dxa"/>
              <w:bottom w:w="80" w:type="dxa"/>
              <w:end w:w="120" w:type="dxa"/>
            </w:tcMar>
            <w:vAlign w:val="center"/>
          </w:tcPr>
          <w:p>
            <w:pPr>
              <w:spacing w:before="0" w:after="0" w:line="264" w:lineRule="auto"/>
            </w:pPr>
            <w:r>
              <w:rPr>
                <w:rFonts w:ascii="Calibri" w:hAnsi="Calibri"/>
                <w:color w:val="141E2D"/>
                <w:sz w:val="20"/>
              </w:rPr>
              <w:t>Centralize validation, error handling, rate limiting, security headers, and request logging.</w:t>
            </w:r>
          </w:p>
        </w:tc>
      </w:tr>
    </w:tbl>
    <w:p>
      <w:pPr>
        <w:spacing w:after="80"/>
      </w:pPr>
    </w:p>
    <w:p>
      <w:pPr>
        <w:spacing w:before="0" w:after="120" w:line="264" w:lineRule="auto"/>
      </w:pPr>
      <w:r>
        <w:rPr>
          <w:rFonts w:ascii="Calibri" w:hAnsi="Calibri"/>
          <w:color w:val="141E2D"/>
          <w:sz w:val="22"/>
        </w:rPr>
        <w:t>Example request flow: POST /transactions -&gt; controller -&gt; TransactionService -&gt; TransactionRepository -&gt; SQLite.</w:t>
      </w:r>
    </w:p>
    <w:p>
      <w:pPr>
        <w:pStyle w:val="Heading1"/>
        <w:spacing w:before="320" w:after="160"/>
      </w:pPr>
      <w:r>
        <w:rPr>
          <w:rFonts w:ascii="Calibri" w:hAnsi="Calibri"/>
          <w:b/>
          <w:color w:val="2E74B5"/>
          <w:sz w:val="32"/>
        </w:rPr>
        <w:t>Data Architecture</w:t>
      </w:r>
    </w:p>
    <w:p>
      <w:pPr>
        <w:spacing w:before="0" w:after="120" w:line="264" w:lineRule="auto"/>
      </w:pPr>
      <w:r>
        <w:rPr>
          <w:rFonts w:ascii="Calibri" w:hAnsi="Calibri"/>
          <w:color w:val="141E2D"/>
          <w:sz w:val="22"/>
        </w:rPr>
        <w:t>SQLite is the right database for this problem. The expected usage pattern is a single user, local-first storage, low write contention, and a dataset that is small by database standards. That makes SQLite a deliberate engineering choice rather than a shortcut.</w:t>
      </w:r>
    </w:p>
    <w:p>
      <w:pPr>
        <w:pStyle w:val="Heading2"/>
        <w:spacing w:before="240" w:after="120"/>
      </w:pPr>
      <w:r>
        <w:rPr>
          <w:rFonts w:ascii="Calibri" w:hAnsi="Calibri"/>
          <w:b/>
          <w:color w:val="2E74B5"/>
          <w:sz w:val="26"/>
        </w:rPr>
        <w:t>Core Entities</w:t>
      </w:r>
    </w:p>
    <w:p>
      <w:pPr>
        <w:pStyle w:val="ListBullet"/>
        <w:spacing w:before="0" w:after="80" w:line="280" w:lineRule="auto"/>
      </w:pPr>
      <w:r>
        <w:rPr>
          <w:rFonts w:ascii="Calibri" w:hAnsi="Calibri"/>
          <w:color w:val="141E2D"/>
          <w:sz w:val="22"/>
        </w:rPr>
        <w:t>Account: bank, wallet, card, cash, investment, or custom account metadata.</w:t>
      </w:r>
    </w:p>
    <w:p>
      <w:pPr>
        <w:pStyle w:val="ListBullet"/>
        <w:spacing w:before="0" w:after="80" w:line="280" w:lineRule="auto"/>
      </w:pPr>
      <w:r>
        <w:rPr>
          <w:rFonts w:ascii="Calibri" w:hAnsi="Calibri"/>
          <w:color w:val="141E2D"/>
          <w:sz w:val="22"/>
        </w:rPr>
        <w:t>Transaction: amount, date, merchant, description, category, account, source import, and user annotations.</w:t>
      </w:r>
    </w:p>
    <w:p>
      <w:pPr>
        <w:pStyle w:val="ListBullet"/>
        <w:spacing w:before="0" w:after="80" w:line="280" w:lineRule="auto"/>
      </w:pPr>
      <w:r>
        <w:rPr>
          <w:rFonts w:ascii="Calibri" w:hAnsi="Calibri"/>
          <w:color w:val="141E2D"/>
          <w:sz w:val="22"/>
        </w:rPr>
        <w:t>Category: user-editable income and expense taxonomy.</w:t>
      </w:r>
    </w:p>
    <w:p>
      <w:pPr>
        <w:pStyle w:val="ListBullet"/>
        <w:spacing w:before="0" w:after="80" w:line="280" w:lineRule="auto"/>
      </w:pPr>
      <w:r>
        <w:rPr>
          <w:rFonts w:ascii="Calibri" w:hAnsi="Calibri"/>
          <w:color w:val="141E2D"/>
          <w:sz w:val="22"/>
        </w:rPr>
        <w:t>ImportBatch: imported file name, parser type, row count, success/failure state, and undo support.</w:t>
      </w:r>
    </w:p>
    <w:p>
      <w:pPr>
        <w:pStyle w:val="ListBullet"/>
        <w:spacing w:before="0" w:after="80" w:line="280" w:lineRule="auto"/>
      </w:pPr>
      <w:r>
        <w:rPr>
          <w:rFonts w:ascii="Calibri" w:hAnsi="Calibri"/>
          <w:color w:val="141E2D"/>
          <w:sz w:val="22"/>
        </w:rPr>
        <w:t>Rule: deterministic categorization rule based on merchant, description, amount, or account conditions.</w:t>
      </w:r>
    </w:p>
    <w:p>
      <w:pPr>
        <w:pStyle w:val="ListBullet"/>
        <w:spacing w:before="0" w:after="80" w:line="280" w:lineRule="auto"/>
      </w:pPr>
      <w:r>
        <w:rPr>
          <w:rFonts w:ascii="Calibri" w:hAnsi="Calibri"/>
          <w:color w:val="141E2D"/>
          <w:sz w:val="22"/>
        </w:rPr>
        <w:t>RecurringTransaction: detected or confirmed repeating payment pattern.</w:t>
      </w:r>
    </w:p>
    <w:p>
      <w:pPr>
        <w:pStyle w:val="Heading1"/>
        <w:spacing w:before="320" w:after="160"/>
      </w:pPr>
      <w:r>
        <w:rPr>
          <w:rFonts w:ascii="Calibri" w:hAnsi="Calibri"/>
          <w:b/>
          <w:color w:val="2E74B5"/>
          <w:sz w:val="32"/>
        </w:rPr>
        <w:t>Import and Automation Features</w:t>
      </w:r>
    </w:p>
    <w:p>
      <w:pPr>
        <w:spacing w:before="0" w:after="120" w:line="264" w:lineRule="auto"/>
      </w:pPr>
      <w:r>
        <w:rPr>
          <w:rFonts w:ascii="Calibri" w:hAnsi="Calibri"/>
          <w:color w:val="141E2D"/>
          <w:sz w:val="22"/>
        </w:rPr>
        <w:t>The CSV importer should be treated as a major feature, not an afterthought. A polished importer is more impressive than a generic dashboard because it shows file processing, validation, error handling, and real user workflow design.</w:t>
      </w:r>
    </w:p>
    <w:tbl>
      <w:tblPr>
        <w:tblW w:type="dxa" w:w="9360"/>
        <w:tblLayout w:type="fixed"/>
        <w:tblLook w:firstColumn="1" w:firstRow="1" w:lastColumn="0" w:lastRow="0" w:noHBand="0" w:noVBand="1" w:val="04A0"/>
        <w:jc w:val="left"/>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300"/>
        <w:gridCol w:w="7060"/>
      </w:tblGrid>
      <w:tr>
        <w:trPr>
          <w:tblHeader w:val="true"/>
        </w:trPr>
        <w:tc>
          <w:tcPr>
            <w:tcW w:type="dxa" w:w="2300"/>
            <w:tcMar>
              <w:top w:w="80" w:type="dxa"/>
              <w:start w:w="120" w:type="dxa"/>
              <w:bottom w:w="80" w:type="dxa"/>
              <w:end w:w="120" w:type="dxa"/>
            </w:tcMar>
            <w:vAlign w:val="center"/>
            <w:shd w:fill="F2F4F7"/>
          </w:tcPr>
          <w:p>
            <w:pPr>
              <w:spacing w:before="0" w:after="0" w:line="264" w:lineRule="auto"/>
            </w:pPr>
            <w:r>
              <w:rPr>
                <w:rFonts w:ascii="Calibri" w:hAnsi="Calibri"/>
                <w:b/>
                <w:color w:val="1F4D78"/>
                <w:sz w:val="20"/>
              </w:rPr>
              <w:t>Feature</w:t>
            </w:r>
          </w:p>
        </w:tc>
        <w:tc>
          <w:tcPr>
            <w:tcW w:type="dxa" w:w="7060"/>
            <w:tcMar>
              <w:top w:w="80" w:type="dxa"/>
              <w:start w:w="120" w:type="dxa"/>
              <w:bottom w:w="80" w:type="dxa"/>
              <w:end w:w="120" w:type="dxa"/>
            </w:tcMar>
            <w:vAlign w:val="center"/>
            <w:shd w:fill="F2F4F7"/>
          </w:tcPr>
          <w:p>
            <w:pPr>
              <w:spacing w:before="0" w:after="0" w:line="264" w:lineRule="auto"/>
            </w:pPr>
            <w:r>
              <w:rPr>
                <w:rFonts w:ascii="Calibri" w:hAnsi="Calibri"/>
                <w:b/>
                <w:color w:val="1F4D78"/>
                <w:sz w:val="20"/>
              </w:rPr>
              <w:t>Implementation Notes</w:t>
            </w:r>
          </w:p>
        </w:tc>
      </w:tr>
      <w:tr>
        <w:tc>
          <w:tcPr>
            <w:tcW w:type="dxa" w:w="2300"/>
            <w:tcMar>
              <w:top w:w="80" w:type="dxa"/>
              <w:start w:w="120" w:type="dxa"/>
              <w:bottom w:w="80" w:type="dxa"/>
              <w:end w:w="120" w:type="dxa"/>
            </w:tcMar>
            <w:vAlign w:val="center"/>
          </w:tcPr>
          <w:p>
            <w:pPr>
              <w:spacing w:before="0" w:after="0" w:line="264" w:lineRule="auto"/>
            </w:pPr>
            <w:r>
              <w:rPr>
                <w:rFonts w:ascii="Calibri" w:hAnsi="Calibri"/>
                <w:color w:val="141E2D"/>
                <w:sz w:val="20"/>
              </w:rPr>
              <w:t>Bank CSV Import</w:t>
            </w:r>
          </w:p>
        </w:tc>
        <w:tc>
          <w:tcPr>
            <w:tcW w:type="dxa" w:w="7060"/>
            <w:tcMar>
              <w:top w:w="80" w:type="dxa"/>
              <w:start w:w="120" w:type="dxa"/>
              <w:bottom w:w="80" w:type="dxa"/>
              <w:end w:w="120" w:type="dxa"/>
            </w:tcMar>
            <w:vAlign w:val="center"/>
          </w:tcPr>
          <w:p>
            <w:pPr>
              <w:spacing w:before="0" w:after="0" w:line="264" w:lineRule="auto"/>
            </w:pPr>
            <w:r>
              <w:rPr>
                <w:rFonts w:ascii="Calibri" w:hAnsi="Calibri"/>
                <w:color w:val="141E2D"/>
                <w:sz w:val="20"/>
              </w:rPr>
              <w:t>Support common Indian and international formats such as HDFC, ICICI, SBI, Axis, Chase, and Bank of America. Use parser detection rather than one universal CSV assumption.</w:t>
            </w:r>
          </w:p>
        </w:tc>
      </w:tr>
      <w:tr>
        <w:tc>
          <w:tcPr>
            <w:tcW w:type="dxa" w:w="2300"/>
            <w:tcMar>
              <w:top w:w="80" w:type="dxa"/>
              <w:start w:w="120" w:type="dxa"/>
              <w:bottom w:w="80" w:type="dxa"/>
              <w:end w:w="120" w:type="dxa"/>
            </w:tcMar>
            <w:vAlign w:val="center"/>
          </w:tcPr>
          <w:p>
            <w:pPr>
              <w:spacing w:before="0" w:after="0" w:line="264" w:lineRule="auto"/>
            </w:pPr>
            <w:r>
              <w:rPr>
                <w:rFonts w:ascii="Calibri" w:hAnsi="Calibri"/>
                <w:color w:val="141E2D"/>
                <w:sz w:val="20"/>
              </w:rPr>
              <w:t>Import History</w:t>
            </w:r>
          </w:p>
        </w:tc>
        <w:tc>
          <w:tcPr>
            <w:tcW w:type="dxa" w:w="7060"/>
            <w:tcMar>
              <w:top w:w="80" w:type="dxa"/>
              <w:start w:w="120" w:type="dxa"/>
              <w:bottom w:w="80" w:type="dxa"/>
              <w:end w:w="120" w:type="dxa"/>
            </w:tcMar>
            <w:vAlign w:val="center"/>
          </w:tcPr>
          <w:p>
            <w:pPr>
              <w:spacing w:before="0" w:after="0" w:line="264" w:lineRule="auto"/>
            </w:pPr>
            <w:r>
              <w:rPr>
                <w:rFonts w:ascii="Calibri" w:hAnsi="Calibri"/>
                <w:color w:val="141E2D"/>
                <w:sz w:val="20"/>
              </w:rPr>
              <w:t>Record each import batch with file name, timestamp, row count, parser, status, and ability to undo imported rows.</w:t>
            </w:r>
          </w:p>
        </w:tc>
      </w:tr>
      <w:tr>
        <w:tc>
          <w:tcPr>
            <w:tcW w:type="dxa" w:w="2300"/>
            <w:tcMar>
              <w:top w:w="80" w:type="dxa"/>
              <w:start w:w="120" w:type="dxa"/>
              <w:bottom w:w="80" w:type="dxa"/>
              <w:end w:w="120" w:type="dxa"/>
            </w:tcMar>
            <w:vAlign w:val="center"/>
          </w:tcPr>
          <w:p>
            <w:pPr>
              <w:spacing w:before="0" w:after="0" w:line="264" w:lineRule="auto"/>
            </w:pPr>
            <w:r>
              <w:rPr>
                <w:rFonts w:ascii="Calibri" w:hAnsi="Calibri"/>
                <w:color w:val="141E2D"/>
                <w:sz w:val="20"/>
              </w:rPr>
              <w:t>Rule Engine</w:t>
            </w:r>
          </w:p>
        </w:tc>
        <w:tc>
          <w:tcPr>
            <w:tcW w:type="dxa" w:w="7060"/>
            <w:tcMar>
              <w:top w:w="80" w:type="dxa"/>
              <w:start w:w="120" w:type="dxa"/>
              <w:bottom w:w="80" w:type="dxa"/>
              <w:end w:w="120" w:type="dxa"/>
            </w:tcMar>
            <w:vAlign w:val="center"/>
          </w:tcPr>
          <w:p>
            <w:pPr>
              <w:spacing w:before="0" w:after="0" w:line="264" w:lineRule="auto"/>
            </w:pPr>
            <w:r>
              <w:rPr>
                <w:rFonts w:ascii="Calibri" w:hAnsi="Calibri"/>
                <w:color w:val="141E2D"/>
                <w:sz w:val="20"/>
              </w:rPr>
              <w:t>Allow deterministic IF description/merchant/amount/account conditions THEN category/action rules before invoking AI.</w:t>
            </w:r>
          </w:p>
        </w:tc>
      </w:tr>
      <w:tr>
        <w:tc>
          <w:tcPr>
            <w:tcW w:type="dxa" w:w="2300"/>
            <w:tcMar>
              <w:top w:w="80" w:type="dxa"/>
              <w:start w:w="120" w:type="dxa"/>
              <w:bottom w:w="80" w:type="dxa"/>
              <w:end w:w="120" w:type="dxa"/>
            </w:tcMar>
            <w:vAlign w:val="center"/>
          </w:tcPr>
          <w:p>
            <w:pPr>
              <w:spacing w:before="0" w:after="0" w:line="264" w:lineRule="auto"/>
            </w:pPr>
            <w:r>
              <w:rPr>
                <w:rFonts w:ascii="Calibri" w:hAnsi="Calibri"/>
                <w:color w:val="141E2D"/>
                <w:sz w:val="20"/>
              </w:rPr>
              <w:t>Duplicate Detection</w:t>
            </w:r>
          </w:p>
        </w:tc>
        <w:tc>
          <w:tcPr>
            <w:tcW w:type="dxa" w:w="7060"/>
            <w:tcMar>
              <w:top w:w="80" w:type="dxa"/>
              <w:start w:w="120" w:type="dxa"/>
              <w:bottom w:w="80" w:type="dxa"/>
              <w:end w:w="120" w:type="dxa"/>
            </w:tcMar>
            <w:vAlign w:val="center"/>
          </w:tcPr>
          <w:p>
            <w:pPr>
              <w:spacing w:before="0" w:after="0" w:line="264" w:lineRule="auto"/>
            </w:pPr>
            <w:r>
              <w:rPr>
                <w:rFonts w:ascii="Calibri" w:hAnsi="Calibri"/>
                <w:color w:val="141E2D"/>
                <w:sz w:val="20"/>
              </w:rPr>
              <w:t>Flag likely duplicates using amount, merchant, timestamp proximity, external IDs, and import batch metadata.</w:t>
            </w:r>
          </w:p>
        </w:tc>
      </w:tr>
      <w:tr>
        <w:tc>
          <w:tcPr>
            <w:tcW w:type="dxa" w:w="2300"/>
            <w:tcMar>
              <w:top w:w="80" w:type="dxa"/>
              <w:start w:w="120" w:type="dxa"/>
              <w:bottom w:w="80" w:type="dxa"/>
              <w:end w:w="120" w:type="dxa"/>
            </w:tcMar>
            <w:vAlign w:val="center"/>
          </w:tcPr>
          <w:p>
            <w:pPr>
              <w:spacing w:before="0" w:after="0" w:line="264" w:lineRule="auto"/>
            </w:pPr>
            <w:r>
              <w:rPr>
                <w:rFonts w:ascii="Calibri" w:hAnsi="Calibri"/>
                <w:color w:val="141E2D"/>
                <w:sz w:val="20"/>
              </w:rPr>
              <w:t>Recurring Detection</w:t>
            </w:r>
          </w:p>
        </w:tc>
        <w:tc>
          <w:tcPr>
            <w:tcW w:type="dxa" w:w="7060"/>
            <w:tcMar>
              <w:top w:w="80" w:type="dxa"/>
              <w:start w:w="120" w:type="dxa"/>
              <w:bottom w:w="80" w:type="dxa"/>
              <w:end w:w="120" w:type="dxa"/>
            </w:tcMar>
            <w:vAlign w:val="center"/>
          </w:tcPr>
          <w:p>
            <w:pPr>
              <w:spacing w:before="0" w:after="0" w:line="264" w:lineRule="auto"/>
            </w:pPr>
            <w:r>
              <w:rPr>
                <w:rFonts w:ascii="Calibri" w:hAnsi="Calibri"/>
                <w:color w:val="141E2D"/>
                <w:sz w:val="20"/>
              </w:rPr>
              <w:t>Detect subscriptions and bills such as rent, utilities, insurance, gym, Spotify, Netflix, and similar patterns.</w:t>
            </w:r>
          </w:p>
        </w:tc>
      </w:tr>
    </w:tbl>
    <w:p>
      <w:pPr>
        <w:spacing w:after="80"/>
      </w:pPr>
    </w:p>
    <w:p>
      <w:pPr>
        <w:pStyle w:val="Heading1"/>
        <w:spacing w:before="320" w:after="160"/>
      </w:pPr>
      <w:r>
        <w:rPr>
          <w:rFonts w:ascii="Calibri" w:hAnsi="Calibri"/>
          <w:b/>
          <w:color w:val="2E74B5"/>
          <w:sz w:val="32"/>
        </w:rPr>
        <w:t>AI Integration Strategy</w:t>
      </w:r>
    </w:p>
    <w:p>
      <w:pPr>
        <w:spacing w:before="0" w:after="120" w:line="264" w:lineRule="auto"/>
      </w:pPr>
      <w:r>
        <w:rPr>
          <w:rFonts w:ascii="Calibri" w:hAnsi="Calibri"/>
          <w:color w:val="141E2D"/>
          <w:sz w:val="22"/>
        </w:rPr>
        <w:t>AI should remain optional. The application should work fully without AI, support a cloud provider when configured, and optionally support a local model through Ollama. This keeps the privacy story intact while still allowing modern AI features.</w:t>
      </w:r>
    </w:p>
    <w:tbl>
      <w:tblPr>
        <w:tblW w:type="dxa" w:w="9360"/>
        <w:tblLayout w:type="fixed"/>
        <w:tblLook w:firstColumn="1" w:firstRow="1" w:lastColumn="0" w:lastRow="0" w:noHBand="0" w:noVBand="1" w:val="04A0"/>
        <w:jc w:val="left"/>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1900"/>
        <w:gridCol w:w="7460"/>
      </w:tblGrid>
      <w:tr>
        <w:trPr>
          <w:tblHeader w:val="true"/>
        </w:trPr>
        <w:tc>
          <w:tcPr>
            <w:tcW w:type="dxa" w:w="1900"/>
            <w:tcMar>
              <w:top w:w="80" w:type="dxa"/>
              <w:start w:w="120" w:type="dxa"/>
              <w:bottom w:w="80" w:type="dxa"/>
              <w:end w:w="120" w:type="dxa"/>
            </w:tcMar>
            <w:vAlign w:val="center"/>
            <w:shd w:fill="F2F4F7"/>
          </w:tcPr>
          <w:p>
            <w:pPr>
              <w:spacing w:before="0" w:after="0" w:line="264" w:lineRule="auto"/>
            </w:pPr>
            <w:r>
              <w:rPr>
                <w:rFonts w:ascii="Calibri" w:hAnsi="Calibri"/>
                <w:b/>
                <w:color w:val="1F4D78"/>
                <w:sz w:val="20"/>
              </w:rPr>
              <w:t>Mode</w:t>
            </w:r>
          </w:p>
        </w:tc>
        <w:tc>
          <w:tcPr>
            <w:tcW w:type="dxa" w:w="7460"/>
            <w:tcMar>
              <w:top w:w="80" w:type="dxa"/>
              <w:start w:w="120" w:type="dxa"/>
              <w:bottom w:w="80" w:type="dxa"/>
              <w:end w:w="120" w:type="dxa"/>
            </w:tcMar>
            <w:vAlign w:val="center"/>
            <w:shd w:fill="F2F4F7"/>
          </w:tcPr>
          <w:p>
            <w:pPr>
              <w:spacing w:before="0" w:after="0" w:line="264" w:lineRule="auto"/>
            </w:pPr>
            <w:r>
              <w:rPr>
                <w:rFonts w:ascii="Calibri" w:hAnsi="Calibri"/>
                <w:b/>
                <w:color w:val="1F4D78"/>
                <w:sz w:val="20"/>
              </w:rPr>
              <w:t>Behavior</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color w:val="141E2D"/>
                <w:sz w:val="20"/>
              </w:rPr>
              <w:t>No AI</w:t>
            </w:r>
          </w:p>
        </w:tc>
        <w:tc>
          <w:tcPr>
            <w:tcW w:type="dxa" w:w="7460"/>
            <w:tcMar>
              <w:top w:w="80" w:type="dxa"/>
              <w:start w:w="120" w:type="dxa"/>
              <w:bottom w:w="80" w:type="dxa"/>
              <w:end w:w="120" w:type="dxa"/>
            </w:tcMar>
            <w:vAlign w:val="center"/>
          </w:tcPr>
          <w:p>
            <w:pPr>
              <w:spacing w:before="0" w:after="0" w:line="264" w:lineRule="auto"/>
            </w:pPr>
            <w:r>
              <w:rPr>
                <w:rFonts w:ascii="Calibri" w:hAnsi="Calibri"/>
                <w:color w:val="141E2D"/>
                <w:sz w:val="20"/>
              </w:rPr>
              <w:t>All core finance features continue to work through manual categories, rules, filters, and dashboard views.</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color w:val="141E2D"/>
                <w:sz w:val="20"/>
              </w:rPr>
              <w:t>Cloud API</w:t>
            </w:r>
          </w:p>
        </w:tc>
        <w:tc>
          <w:tcPr>
            <w:tcW w:type="dxa" w:w="7460"/>
            <w:tcMar>
              <w:top w:w="80" w:type="dxa"/>
              <w:start w:w="120" w:type="dxa"/>
              <w:bottom w:w="80" w:type="dxa"/>
              <w:end w:w="120" w:type="dxa"/>
            </w:tcMar>
            <w:vAlign w:val="center"/>
          </w:tcPr>
          <w:p>
            <w:pPr>
              <w:spacing w:before="0" w:after="0" w:line="264" w:lineRule="auto"/>
            </w:pPr>
            <w:r>
              <w:rPr>
                <w:rFonts w:ascii="Calibri" w:hAnsi="Calibri"/>
                <w:color w:val="141E2D"/>
                <w:sz w:val="20"/>
              </w:rPr>
              <w:t>Use a provider abstraction for OpenAI, Anthropic, Groq, or other hosted models when the user supplies credentials.</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color w:val="141E2D"/>
                <w:sz w:val="20"/>
              </w:rPr>
              <w:t>Local Ollama</w:t>
            </w:r>
          </w:p>
        </w:tc>
        <w:tc>
          <w:tcPr>
            <w:tcW w:type="dxa" w:w="7460"/>
            <w:tcMar>
              <w:top w:w="80" w:type="dxa"/>
              <w:start w:w="120" w:type="dxa"/>
              <w:bottom w:w="80" w:type="dxa"/>
              <w:end w:w="120" w:type="dxa"/>
            </w:tcMar>
            <w:vAlign w:val="center"/>
          </w:tcPr>
          <w:p>
            <w:pPr>
              <w:spacing w:before="0" w:after="0" w:line="264" w:lineRule="auto"/>
            </w:pPr>
            <w:r>
              <w:rPr>
                <w:rFonts w:ascii="Calibri" w:hAnsi="Calibri"/>
                <w:color w:val="141E2D"/>
                <w:sz w:val="20"/>
              </w:rPr>
              <w:t>Enable private local inference for users who prefer not to send financial context to a cloud model.</w:t>
            </w:r>
          </w:p>
        </w:tc>
      </w:tr>
    </w:tbl>
    <w:p>
      <w:pPr>
        <w:spacing w:after="80"/>
      </w:pPr>
    </w:p>
    <w:p>
      <w:pPr>
        <w:spacing w:before="0" w:after="120" w:line="264" w:lineRule="auto"/>
      </w:pPr>
      <w:r>
        <w:rPr>
          <w:rFonts w:ascii="Calibri" w:hAnsi="Calibri"/>
          <w:color w:val="141E2D"/>
          <w:sz w:val="22"/>
        </w:rPr>
        <w:t>For analysis questions, use lightweight retrieval instead of sending the full database. Determine the relevant time range, query SQLite for the necessary summary and rows, cap the result set, transform it into compact JSON, and send only that context to the selected model.</w:t>
      </w:r>
    </w:p>
    <w:p>
      <w:pPr>
        <w:pStyle w:val="Heading1"/>
        <w:spacing w:before="320" w:after="160"/>
      </w:pPr>
      <w:r>
        <w:rPr>
          <w:rFonts w:ascii="Calibri" w:hAnsi="Calibri"/>
          <w:b/>
          <w:color w:val="2E74B5"/>
          <w:sz w:val="32"/>
        </w:rPr>
        <w:t>Security and Privacy Requirements</w:t>
      </w:r>
    </w:p>
    <w:p>
      <w:pPr>
        <w:pStyle w:val="ListBullet"/>
        <w:spacing w:before="0" w:after="80" w:line="280" w:lineRule="auto"/>
      </w:pPr>
      <w:r>
        <w:rPr>
          <w:rFonts w:ascii="Calibri" w:hAnsi="Calibri"/>
          <w:color w:val="141E2D"/>
          <w:sz w:val="22"/>
        </w:rPr>
        <w:t>Do not store API keys inside the main SQLite finance database. Prefer a separate local config file, .env.local for development, or a secure keychain integration such as keytar.</w:t>
      </w:r>
    </w:p>
    <w:p>
      <w:pPr>
        <w:pStyle w:val="ListBullet"/>
        <w:spacing w:before="0" w:after="80" w:line="280" w:lineRule="auto"/>
      </w:pPr>
      <w:r>
        <w:rPr>
          <w:rFonts w:ascii="Calibri" w:hAnsi="Calibri"/>
          <w:color w:val="141E2D"/>
          <w:sz w:val="22"/>
        </w:rPr>
        <w:t>Use migrations for schema changes. Avoid uncontrolled table creation at runtime.</w:t>
      </w:r>
    </w:p>
    <w:p>
      <w:pPr>
        <w:pStyle w:val="ListBullet"/>
        <w:spacing w:before="0" w:after="80" w:line="280" w:lineRule="auto"/>
      </w:pPr>
      <w:r>
        <w:rPr>
          <w:rFonts w:ascii="Calibri" w:hAnsi="Calibri"/>
          <w:color w:val="141E2D"/>
          <w:sz w:val="22"/>
        </w:rPr>
        <w:t>Validate all inputs with Zod, including API requests, CSV rows, configuration values, and AI-generated structured outputs.</w:t>
      </w:r>
    </w:p>
    <w:p>
      <w:pPr>
        <w:pStyle w:val="ListBullet"/>
        <w:spacing w:before="0" w:after="80" w:line="280" w:lineRule="auto"/>
      </w:pPr>
      <w:r>
        <w:rPr>
          <w:rFonts w:ascii="Calibri" w:hAnsi="Calibri"/>
          <w:color w:val="141E2D"/>
          <w:sz w:val="22"/>
        </w:rPr>
        <w:t>Sanitize CSV values before display or export to reduce CSV injection risk from formula-like content.</w:t>
      </w:r>
    </w:p>
    <w:p>
      <w:pPr>
        <w:pStyle w:val="ListBullet"/>
        <w:spacing w:before="0" w:after="80" w:line="280" w:lineRule="auto"/>
      </w:pPr>
      <w:r>
        <w:rPr>
          <w:rFonts w:ascii="Calibri" w:hAnsi="Calibri"/>
          <w:color w:val="141E2D"/>
          <w:sz w:val="22"/>
        </w:rPr>
        <w:t>Apply Helmet and a clear Content Security Policy for the local web application.</w:t>
      </w:r>
    </w:p>
    <w:p>
      <w:pPr>
        <w:pStyle w:val="ListBullet"/>
        <w:spacing w:before="0" w:after="80" w:line="280" w:lineRule="auto"/>
      </w:pPr>
      <w:r>
        <w:rPr>
          <w:rFonts w:ascii="Calibri" w:hAnsi="Calibri"/>
          <w:color w:val="141E2D"/>
          <w:sz w:val="22"/>
        </w:rPr>
        <w:t>Rate-limit AI and import endpoints to protect local resources and avoid accidental API spend.</w:t>
      </w:r>
    </w:p>
    <w:p>
      <w:pPr>
        <w:pStyle w:val="ListBullet"/>
        <w:spacing w:before="0" w:after="80" w:line="280" w:lineRule="auto"/>
      </w:pPr>
      <w:r>
        <w:rPr>
          <w:rFonts w:ascii="Calibri" w:hAnsi="Calibri"/>
          <w:color w:val="141E2D"/>
          <w:sz w:val="22"/>
        </w:rPr>
        <w:t>Keep backups explicit and user-controlled, especially if the database contains sensitive transaction history.</w:t>
      </w:r>
    </w:p>
    <w:p>
      <w:pPr>
        <w:pStyle w:val="Heading1"/>
        <w:spacing w:before="320" w:after="160"/>
      </w:pPr>
      <w:r>
        <w:rPr>
          <w:rFonts w:ascii="Calibri" w:hAnsi="Calibri"/>
          <w:b/>
          <w:color w:val="2E74B5"/>
          <w:sz w:val="32"/>
        </w:rPr>
        <w:t>Dashboard Scope</w:t>
      </w:r>
    </w:p>
    <w:p>
      <w:pPr>
        <w:spacing w:before="0" w:after="120" w:line="264" w:lineRule="auto"/>
      </w:pPr>
      <w:r>
        <w:rPr>
          <w:rFonts w:ascii="Calibri" w:hAnsi="Calibri"/>
          <w:color w:val="141E2D"/>
          <w:sz w:val="22"/>
        </w:rPr>
        <w:t>The dashboard should focus on metrics that help the user understand behavior and take action. Avoid a decorative chart-only experience. Prioritize useful financial views that connect back to transactions, rules, and imports.</w:t>
      </w:r>
    </w:p>
    <w:tbl>
      <w:tblPr>
        <w:tblW w:type="dxa" w:w="9360"/>
        <w:tblLayout w:type="fixed"/>
        <w:tblLook w:firstColumn="1" w:firstRow="1" w:lastColumn="0" w:lastRow="0" w:noHBand="0" w:noVBand="1" w:val="04A0"/>
        <w:jc w:val="left"/>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300"/>
        <w:gridCol w:w="7060"/>
      </w:tblGrid>
      <w:tr>
        <w:trPr>
          <w:tblHeader w:val="true"/>
        </w:trPr>
        <w:tc>
          <w:tcPr>
            <w:tcW w:type="dxa" w:w="2300"/>
            <w:tcMar>
              <w:top w:w="80" w:type="dxa"/>
              <w:start w:w="120" w:type="dxa"/>
              <w:bottom w:w="80" w:type="dxa"/>
              <w:end w:w="120" w:type="dxa"/>
            </w:tcMar>
            <w:vAlign w:val="center"/>
            <w:shd w:fill="F2F4F7"/>
          </w:tcPr>
          <w:p>
            <w:pPr>
              <w:spacing w:before="0" w:after="0" w:line="264" w:lineRule="auto"/>
            </w:pPr>
            <w:r>
              <w:rPr>
                <w:rFonts w:ascii="Calibri" w:hAnsi="Calibri"/>
                <w:b/>
                <w:color w:val="1F4D78"/>
                <w:sz w:val="20"/>
              </w:rPr>
              <w:t>Dashboard View</w:t>
            </w:r>
          </w:p>
        </w:tc>
        <w:tc>
          <w:tcPr>
            <w:tcW w:type="dxa" w:w="7060"/>
            <w:tcMar>
              <w:top w:w="80" w:type="dxa"/>
              <w:start w:w="120" w:type="dxa"/>
              <w:bottom w:w="80" w:type="dxa"/>
              <w:end w:w="120" w:type="dxa"/>
            </w:tcMar>
            <w:vAlign w:val="center"/>
            <w:shd w:fill="F2F4F7"/>
          </w:tcPr>
          <w:p>
            <w:pPr>
              <w:spacing w:before="0" w:after="0" w:line="264" w:lineRule="auto"/>
            </w:pPr>
            <w:r>
              <w:rPr>
                <w:rFonts w:ascii="Calibri" w:hAnsi="Calibri"/>
                <w:b/>
                <w:color w:val="1F4D78"/>
                <w:sz w:val="20"/>
              </w:rPr>
              <w:t>Purpose</w:t>
            </w:r>
          </w:p>
        </w:tc>
      </w:tr>
      <w:tr>
        <w:tc>
          <w:tcPr>
            <w:tcW w:type="dxa" w:w="2300"/>
            <w:tcMar>
              <w:top w:w="80" w:type="dxa"/>
              <w:start w:w="120" w:type="dxa"/>
              <w:bottom w:w="80" w:type="dxa"/>
              <w:end w:w="120" w:type="dxa"/>
            </w:tcMar>
            <w:vAlign w:val="center"/>
          </w:tcPr>
          <w:p>
            <w:pPr>
              <w:spacing w:before="0" w:after="0" w:line="264" w:lineRule="auto"/>
            </w:pPr>
            <w:r>
              <w:rPr>
                <w:rFonts w:ascii="Calibri" w:hAnsi="Calibri"/>
                <w:color w:val="141E2D"/>
                <w:sz w:val="20"/>
              </w:rPr>
              <w:t>Cash Flow</w:t>
            </w:r>
          </w:p>
        </w:tc>
        <w:tc>
          <w:tcPr>
            <w:tcW w:type="dxa" w:w="7060"/>
            <w:tcMar>
              <w:top w:w="80" w:type="dxa"/>
              <w:start w:w="120" w:type="dxa"/>
              <w:bottom w:w="80" w:type="dxa"/>
              <w:end w:w="120" w:type="dxa"/>
            </w:tcMar>
            <w:vAlign w:val="center"/>
          </w:tcPr>
          <w:p>
            <w:pPr>
              <w:spacing w:before="0" w:after="0" w:line="264" w:lineRule="auto"/>
            </w:pPr>
            <w:r>
              <w:rPr>
                <w:rFonts w:ascii="Calibri" w:hAnsi="Calibri"/>
                <w:color w:val="141E2D"/>
                <w:sz w:val="20"/>
              </w:rPr>
              <w:t>Show monthly income, expenses, and net movement.</w:t>
            </w:r>
          </w:p>
        </w:tc>
      </w:tr>
      <w:tr>
        <w:tc>
          <w:tcPr>
            <w:tcW w:type="dxa" w:w="2300"/>
            <w:tcMar>
              <w:top w:w="80" w:type="dxa"/>
              <w:start w:w="120" w:type="dxa"/>
              <w:bottom w:w="80" w:type="dxa"/>
              <w:end w:w="120" w:type="dxa"/>
            </w:tcMar>
            <w:vAlign w:val="center"/>
          </w:tcPr>
          <w:p>
            <w:pPr>
              <w:spacing w:before="0" w:after="0" w:line="264" w:lineRule="auto"/>
            </w:pPr>
            <w:r>
              <w:rPr>
                <w:rFonts w:ascii="Calibri" w:hAnsi="Calibri"/>
                <w:color w:val="141E2D"/>
                <w:sz w:val="20"/>
              </w:rPr>
              <w:t>Monthly Burn Rate</w:t>
            </w:r>
          </w:p>
        </w:tc>
        <w:tc>
          <w:tcPr>
            <w:tcW w:type="dxa" w:w="7060"/>
            <w:tcMar>
              <w:top w:w="80" w:type="dxa"/>
              <w:start w:w="120" w:type="dxa"/>
              <w:bottom w:w="80" w:type="dxa"/>
              <w:end w:w="120" w:type="dxa"/>
            </w:tcMar>
            <w:vAlign w:val="center"/>
          </w:tcPr>
          <w:p>
            <w:pPr>
              <w:spacing w:before="0" w:after="0" w:line="264" w:lineRule="auto"/>
            </w:pPr>
            <w:r>
              <w:rPr>
                <w:rFonts w:ascii="Calibri" w:hAnsi="Calibri"/>
                <w:color w:val="141E2D"/>
                <w:sz w:val="20"/>
              </w:rPr>
              <w:t>Expose recurring spending pressure and average monthly expense trend.</w:t>
            </w:r>
          </w:p>
        </w:tc>
      </w:tr>
      <w:tr>
        <w:tc>
          <w:tcPr>
            <w:tcW w:type="dxa" w:w="2300"/>
            <w:tcMar>
              <w:top w:w="80" w:type="dxa"/>
              <w:start w:w="120" w:type="dxa"/>
              <w:bottom w:w="80" w:type="dxa"/>
              <w:end w:w="120" w:type="dxa"/>
            </w:tcMar>
            <w:vAlign w:val="center"/>
          </w:tcPr>
          <w:p>
            <w:pPr>
              <w:spacing w:before="0" w:after="0" w:line="264" w:lineRule="auto"/>
            </w:pPr>
            <w:r>
              <w:rPr>
                <w:rFonts w:ascii="Calibri" w:hAnsi="Calibri"/>
                <w:color w:val="141E2D"/>
                <w:sz w:val="20"/>
              </w:rPr>
              <w:t>Category Breakdown</w:t>
            </w:r>
          </w:p>
        </w:tc>
        <w:tc>
          <w:tcPr>
            <w:tcW w:type="dxa" w:w="7060"/>
            <w:tcMar>
              <w:top w:w="80" w:type="dxa"/>
              <w:start w:w="120" w:type="dxa"/>
              <w:bottom w:w="80" w:type="dxa"/>
              <w:end w:w="120" w:type="dxa"/>
            </w:tcMar>
            <w:vAlign w:val="center"/>
          </w:tcPr>
          <w:p>
            <w:pPr>
              <w:spacing w:before="0" w:after="0" w:line="264" w:lineRule="auto"/>
            </w:pPr>
            <w:r>
              <w:rPr>
                <w:rFonts w:ascii="Calibri" w:hAnsi="Calibri"/>
                <w:color w:val="141E2D"/>
                <w:sz w:val="20"/>
              </w:rPr>
              <w:t>Help users identify where money is going and which rules may need adjustment.</w:t>
            </w:r>
          </w:p>
        </w:tc>
      </w:tr>
      <w:tr>
        <w:tc>
          <w:tcPr>
            <w:tcW w:type="dxa" w:w="2300"/>
            <w:tcMar>
              <w:top w:w="80" w:type="dxa"/>
              <w:start w:w="120" w:type="dxa"/>
              <w:bottom w:w="80" w:type="dxa"/>
              <w:end w:w="120" w:type="dxa"/>
            </w:tcMar>
            <w:vAlign w:val="center"/>
          </w:tcPr>
          <w:p>
            <w:pPr>
              <w:spacing w:before="0" w:after="0" w:line="264" w:lineRule="auto"/>
            </w:pPr>
            <w:r>
              <w:rPr>
                <w:rFonts w:ascii="Calibri" w:hAnsi="Calibri"/>
                <w:color w:val="141E2D"/>
                <w:sz w:val="20"/>
              </w:rPr>
              <w:t>Largest Expense</w:t>
            </w:r>
          </w:p>
        </w:tc>
        <w:tc>
          <w:tcPr>
            <w:tcW w:type="dxa" w:w="7060"/>
            <w:tcMar>
              <w:top w:w="80" w:type="dxa"/>
              <w:start w:w="120" w:type="dxa"/>
              <w:bottom w:w="80" w:type="dxa"/>
              <w:end w:w="120" w:type="dxa"/>
            </w:tcMar>
            <w:vAlign w:val="center"/>
          </w:tcPr>
          <w:p>
            <w:pPr>
              <w:spacing w:before="0" w:after="0" w:line="264" w:lineRule="auto"/>
            </w:pPr>
            <w:r>
              <w:rPr>
                <w:rFonts w:ascii="Calibri" w:hAnsi="Calibri"/>
                <w:color w:val="141E2D"/>
                <w:sz w:val="20"/>
              </w:rPr>
              <w:t>Surface outliers for review.</w:t>
            </w:r>
          </w:p>
        </w:tc>
      </w:tr>
      <w:tr>
        <w:tc>
          <w:tcPr>
            <w:tcW w:type="dxa" w:w="2300"/>
            <w:tcMar>
              <w:top w:w="80" w:type="dxa"/>
              <w:start w:w="120" w:type="dxa"/>
              <w:bottom w:w="80" w:type="dxa"/>
              <w:end w:w="120" w:type="dxa"/>
            </w:tcMar>
            <w:vAlign w:val="center"/>
          </w:tcPr>
          <w:p>
            <w:pPr>
              <w:spacing w:before="0" w:after="0" w:line="264" w:lineRule="auto"/>
            </w:pPr>
            <w:r>
              <w:rPr>
                <w:rFonts w:ascii="Calibri" w:hAnsi="Calibri"/>
                <w:color w:val="141E2D"/>
                <w:sz w:val="20"/>
              </w:rPr>
              <w:t>Upcoming Bills</w:t>
            </w:r>
          </w:p>
        </w:tc>
        <w:tc>
          <w:tcPr>
            <w:tcW w:type="dxa" w:w="7060"/>
            <w:tcMar>
              <w:top w:w="80" w:type="dxa"/>
              <w:start w:w="120" w:type="dxa"/>
              <w:bottom w:w="80" w:type="dxa"/>
              <w:end w:w="120" w:type="dxa"/>
            </w:tcMar>
            <w:vAlign w:val="center"/>
          </w:tcPr>
          <w:p>
            <w:pPr>
              <w:spacing w:before="0" w:after="0" w:line="264" w:lineRule="auto"/>
            </w:pPr>
            <w:r>
              <w:rPr>
                <w:rFonts w:ascii="Calibri" w:hAnsi="Calibri"/>
                <w:color w:val="141E2D"/>
                <w:sz w:val="20"/>
              </w:rPr>
              <w:t>Use recurring detection to forecast predictable near-term expenses.</w:t>
            </w:r>
          </w:p>
        </w:tc>
      </w:tr>
      <w:tr>
        <w:tc>
          <w:tcPr>
            <w:tcW w:type="dxa" w:w="2300"/>
            <w:tcMar>
              <w:top w:w="80" w:type="dxa"/>
              <w:start w:w="120" w:type="dxa"/>
              <w:bottom w:w="80" w:type="dxa"/>
              <w:end w:w="120" w:type="dxa"/>
            </w:tcMar>
            <w:vAlign w:val="center"/>
          </w:tcPr>
          <w:p>
            <w:pPr>
              <w:spacing w:before="0" w:after="0" w:line="264" w:lineRule="auto"/>
            </w:pPr>
            <w:r>
              <w:rPr>
                <w:rFonts w:ascii="Calibri" w:hAnsi="Calibri"/>
                <w:color w:val="141E2D"/>
                <w:sz w:val="20"/>
              </w:rPr>
              <w:t>Net Worth</w:t>
            </w:r>
          </w:p>
        </w:tc>
        <w:tc>
          <w:tcPr>
            <w:tcW w:type="dxa" w:w="7060"/>
            <w:tcMar>
              <w:top w:w="80" w:type="dxa"/>
              <w:start w:w="120" w:type="dxa"/>
              <w:bottom w:w="80" w:type="dxa"/>
              <w:end w:w="120" w:type="dxa"/>
            </w:tcMar>
            <w:vAlign w:val="center"/>
          </w:tcPr>
          <w:p>
            <w:pPr>
              <w:spacing w:before="0" w:after="0" w:line="264" w:lineRule="auto"/>
            </w:pPr>
            <w:r>
              <w:rPr>
                <w:rFonts w:ascii="Calibri" w:hAnsi="Calibri"/>
                <w:color w:val="141E2D"/>
                <w:sz w:val="20"/>
              </w:rPr>
              <w:t>Optional stretch feature if accounts and balances are modeled cleanly.</w:t>
            </w:r>
          </w:p>
        </w:tc>
      </w:tr>
    </w:tbl>
    <w:p>
      <w:pPr>
        <w:spacing w:after="80"/>
      </w:pPr>
    </w:p>
    <w:p>
      <w:pPr>
        <w:pStyle w:val="Heading1"/>
        <w:spacing w:before="320" w:after="160"/>
      </w:pPr>
      <w:r>
        <w:rPr>
          <w:rFonts w:ascii="Calibri" w:hAnsi="Calibri"/>
          <w:b/>
          <w:color w:val="2E74B5"/>
          <w:sz w:val="32"/>
        </w:rPr>
        <w:t>Implementation Roadmap</w:t>
      </w:r>
    </w:p>
    <w:p>
      <w:pPr>
        <w:pStyle w:val="ListNumber"/>
        <w:spacing w:before="0" w:after="80" w:line="280" w:lineRule="auto"/>
      </w:pPr>
      <w:r>
        <w:rPr>
          <w:rFonts w:ascii="Calibri" w:hAnsi="Calibri"/>
          <w:color w:val="141E2D"/>
          <w:sz w:val="22"/>
        </w:rPr>
        <w:t>Phase 1: Project setup with Vite, Express, TypeScript, linting, formatting, shared environment validation, and Docker development flow.</w:t>
      </w:r>
    </w:p>
    <w:p>
      <w:pPr>
        <w:pStyle w:val="ListNumber"/>
        <w:spacing w:before="0" w:after="80" w:line="280" w:lineRule="auto"/>
      </w:pPr>
      <w:r>
        <w:rPr>
          <w:rFonts w:ascii="Calibri" w:hAnsi="Calibri"/>
          <w:color w:val="141E2D"/>
          <w:sz w:val="22"/>
        </w:rPr>
        <w:t>Phase 2: SQLite + Drizzle schema, migrations, repositories, basic CRUD for accounts, categories, and transactions.</w:t>
      </w:r>
    </w:p>
    <w:p>
      <w:pPr>
        <w:pStyle w:val="ListNumber"/>
        <w:spacing w:before="0" w:after="80" w:line="280" w:lineRule="auto"/>
      </w:pPr>
      <w:r>
        <w:rPr>
          <w:rFonts w:ascii="Calibri" w:hAnsi="Calibri"/>
          <w:color w:val="141E2D"/>
          <w:sz w:val="22"/>
        </w:rPr>
        <w:t>Phase 3: CSV import pipeline with parser detection, import history, validation errors, and undo support.</w:t>
      </w:r>
    </w:p>
    <w:p>
      <w:pPr>
        <w:pStyle w:val="ListNumber"/>
        <w:spacing w:before="0" w:after="80" w:line="280" w:lineRule="auto"/>
      </w:pPr>
      <w:r>
        <w:rPr>
          <w:rFonts w:ascii="Calibri" w:hAnsi="Calibri"/>
          <w:color w:val="141E2D"/>
          <w:sz w:val="22"/>
        </w:rPr>
        <w:t>Phase 4: Rule engine, duplicate detection, recurring transaction detection, and dashboard metrics.</w:t>
      </w:r>
    </w:p>
    <w:p>
      <w:pPr>
        <w:pStyle w:val="ListNumber"/>
        <w:spacing w:before="0" w:after="80" w:line="280" w:lineRule="auto"/>
      </w:pPr>
      <w:r>
        <w:rPr>
          <w:rFonts w:ascii="Calibri" w:hAnsi="Calibri"/>
          <w:color w:val="141E2D"/>
          <w:sz w:val="22"/>
        </w:rPr>
        <w:t>Phase 5: Optional AI provider abstraction, retrieval-limited finance Q&amp;A, streaming responses, and local Ollama support.</w:t>
      </w:r>
    </w:p>
    <w:p>
      <w:pPr>
        <w:pStyle w:val="ListNumber"/>
        <w:spacing w:before="0" w:after="80" w:line="280" w:lineRule="auto"/>
      </w:pPr>
      <w:r>
        <w:rPr>
          <w:rFonts w:ascii="Calibri" w:hAnsi="Calibri"/>
          <w:color w:val="141E2D"/>
          <w:sz w:val="22"/>
        </w:rPr>
        <w:t>Phase 6: Testing, documentation, sample data, screenshots, CI, and portfolio README polish.</w:t>
      </w:r>
    </w:p>
    <w:p>
      <w:pPr>
        <w:pStyle w:val="Heading1"/>
        <w:spacing w:before="320" w:after="160"/>
      </w:pPr>
      <w:r>
        <w:rPr>
          <w:rFonts w:ascii="Calibri" w:hAnsi="Calibri"/>
          <w:b/>
          <w:color w:val="2E74B5"/>
          <w:sz w:val="32"/>
        </w:rPr>
        <w:t>Portfolio and Interview Value</w:t>
      </w:r>
    </w:p>
    <w:p>
      <w:pPr>
        <w:spacing w:before="0" w:after="120" w:line="264" w:lineRule="auto"/>
      </w:pPr>
      <w:r>
        <w:rPr>
          <w:rFonts w:ascii="Calibri" w:hAnsi="Calibri"/>
          <w:color w:val="141E2D"/>
          <w:sz w:val="22"/>
        </w:rPr>
        <w:t>A well-executed GhostLedger project can stand out because it combines practical product thinking with backend engineering depth. The strongest talking points are not the charts; they are the architecture decisions and the operational details.</w:t>
      </w:r>
    </w:p>
    <w:tbl>
      <w:tblPr>
        <w:tblW w:type="dxa" w:w="9360"/>
        <w:tblLayout w:type="fixed"/>
        <w:tblLook w:firstColumn="1" w:firstRow="1" w:lastColumn="0" w:lastRow="0" w:noHBand="0" w:noVBand="1" w:val="04A0"/>
        <w:jc w:val="left"/>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300"/>
        <w:gridCol w:w="7060"/>
      </w:tblGrid>
      <w:tr>
        <w:trPr>
          <w:tblHeader w:val="true"/>
        </w:trPr>
        <w:tc>
          <w:tcPr>
            <w:tcW w:type="dxa" w:w="2300"/>
            <w:tcMar>
              <w:top w:w="80" w:type="dxa"/>
              <w:start w:w="120" w:type="dxa"/>
              <w:bottom w:w="80" w:type="dxa"/>
              <w:end w:w="120" w:type="dxa"/>
            </w:tcMar>
            <w:vAlign w:val="center"/>
            <w:shd w:fill="F2F4F7"/>
          </w:tcPr>
          <w:p>
            <w:pPr>
              <w:spacing w:before="0" w:after="0" w:line="264" w:lineRule="auto"/>
            </w:pPr>
            <w:r>
              <w:rPr>
                <w:rFonts w:ascii="Calibri" w:hAnsi="Calibri"/>
                <w:b/>
                <w:color w:val="1F4D78"/>
                <w:sz w:val="20"/>
              </w:rPr>
              <w:t>Signal</w:t>
            </w:r>
          </w:p>
        </w:tc>
        <w:tc>
          <w:tcPr>
            <w:tcW w:type="dxa" w:w="7060"/>
            <w:tcMar>
              <w:top w:w="80" w:type="dxa"/>
              <w:start w:w="120" w:type="dxa"/>
              <w:bottom w:w="80" w:type="dxa"/>
              <w:end w:w="120" w:type="dxa"/>
            </w:tcMar>
            <w:vAlign w:val="center"/>
            <w:shd w:fill="F2F4F7"/>
          </w:tcPr>
          <w:p>
            <w:pPr>
              <w:spacing w:before="0" w:after="0" w:line="264" w:lineRule="auto"/>
            </w:pPr>
            <w:r>
              <w:rPr>
                <w:rFonts w:ascii="Calibri" w:hAnsi="Calibri"/>
                <w:b/>
                <w:color w:val="1F4D78"/>
                <w:sz w:val="20"/>
              </w:rPr>
              <w:t>What It Demonstrates</w:t>
            </w:r>
          </w:p>
        </w:tc>
      </w:tr>
      <w:tr>
        <w:tc>
          <w:tcPr>
            <w:tcW w:type="dxa" w:w="2300"/>
            <w:tcMar>
              <w:top w:w="80" w:type="dxa"/>
              <w:start w:w="120" w:type="dxa"/>
              <w:bottom w:w="80" w:type="dxa"/>
              <w:end w:w="120" w:type="dxa"/>
            </w:tcMar>
            <w:vAlign w:val="center"/>
          </w:tcPr>
          <w:p>
            <w:pPr>
              <w:spacing w:before="0" w:after="0" w:line="264" w:lineRule="auto"/>
            </w:pPr>
            <w:r>
              <w:rPr>
                <w:rFonts w:ascii="Calibri" w:hAnsi="Calibri"/>
                <w:color w:val="141E2D"/>
                <w:sz w:val="20"/>
              </w:rPr>
              <w:t>Local-first architecture</w:t>
            </w:r>
          </w:p>
        </w:tc>
        <w:tc>
          <w:tcPr>
            <w:tcW w:type="dxa" w:w="7060"/>
            <w:tcMar>
              <w:top w:w="80" w:type="dxa"/>
              <w:start w:w="120" w:type="dxa"/>
              <w:bottom w:w="80" w:type="dxa"/>
              <w:end w:w="120" w:type="dxa"/>
            </w:tcMar>
            <w:vAlign w:val="center"/>
          </w:tcPr>
          <w:p>
            <w:pPr>
              <w:spacing w:before="0" w:after="0" w:line="264" w:lineRule="auto"/>
            </w:pPr>
            <w:r>
              <w:rPr>
                <w:rFonts w:ascii="Calibri" w:hAnsi="Calibri"/>
                <w:color w:val="141E2D"/>
                <w:sz w:val="20"/>
              </w:rPr>
              <w:t>Product judgment, privacy awareness, and ability to choose the right storage model.</w:t>
            </w:r>
          </w:p>
        </w:tc>
      </w:tr>
      <w:tr>
        <w:tc>
          <w:tcPr>
            <w:tcW w:type="dxa" w:w="2300"/>
            <w:tcMar>
              <w:top w:w="80" w:type="dxa"/>
              <w:start w:w="120" w:type="dxa"/>
              <w:bottom w:w="80" w:type="dxa"/>
              <w:end w:w="120" w:type="dxa"/>
            </w:tcMar>
            <w:vAlign w:val="center"/>
          </w:tcPr>
          <w:p>
            <w:pPr>
              <w:spacing w:before="0" w:after="0" w:line="264" w:lineRule="auto"/>
            </w:pPr>
            <w:r>
              <w:rPr>
                <w:rFonts w:ascii="Calibri" w:hAnsi="Calibri"/>
                <w:color w:val="141E2D"/>
                <w:sz w:val="20"/>
              </w:rPr>
              <w:t>SQLite + Drizzle</w:t>
            </w:r>
          </w:p>
        </w:tc>
        <w:tc>
          <w:tcPr>
            <w:tcW w:type="dxa" w:w="7060"/>
            <w:tcMar>
              <w:top w:w="80" w:type="dxa"/>
              <w:start w:w="120" w:type="dxa"/>
              <w:bottom w:w="80" w:type="dxa"/>
              <w:end w:w="120" w:type="dxa"/>
            </w:tcMar>
            <w:vAlign w:val="center"/>
          </w:tcPr>
          <w:p>
            <w:pPr>
              <w:spacing w:before="0" w:after="0" w:line="264" w:lineRule="auto"/>
            </w:pPr>
            <w:r>
              <w:rPr>
                <w:rFonts w:ascii="Calibri" w:hAnsi="Calibri"/>
                <w:color w:val="141E2D"/>
                <w:sz w:val="20"/>
              </w:rPr>
              <w:t>Schema design, migrations, type safety, and pragmatic database selection.</w:t>
            </w:r>
          </w:p>
        </w:tc>
      </w:tr>
      <w:tr>
        <w:tc>
          <w:tcPr>
            <w:tcW w:type="dxa" w:w="2300"/>
            <w:tcMar>
              <w:top w:w="80" w:type="dxa"/>
              <w:start w:w="120" w:type="dxa"/>
              <w:bottom w:w="80" w:type="dxa"/>
              <w:end w:w="120" w:type="dxa"/>
            </w:tcMar>
            <w:vAlign w:val="center"/>
          </w:tcPr>
          <w:p>
            <w:pPr>
              <w:spacing w:before="0" w:after="0" w:line="264" w:lineRule="auto"/>
            </w:pPr>
            <w:r>
              <w:rPr>
                <w:rFonts w:ascii="Calibri" w:hAnsi="Calibri"/>
                <w:color w:val="141E2D"/>
                <w:sz w:val="20"/>
              </w:rPr>
              <w:t>CSV ETL pipeline</w:t>
            </w:r>
          </w:p>
        </w:tc>
        <w:tc>
          <w:tcPr>
            <w:tcW w:type="dxa" w:w="7060"/>
            <w:tcMar>
              <w:top w:w="80" w:type="dxa"/>
              <w:start w:w="120" w:type="dxa"/>
              <w:bottom w:w="80" w:type="dxa"/>
              <w:end w:w="120" w:type="dxa"/>
            </w:tcMar>
            <w:vAlign w:val="center"/>
          </w:tcPr>
          <w:p>
            <w:pPr>
              <w:spacing w:before="0" w:after="0" w:line="264" w:lineRule="auto"/>
            </w:pPr>
            <w:r>
              <w:rPr>
                <w:rFonts w:ascii="Calibri" w:hAnsi="Calibri"/>
                <w:color w:val="141E2D"/>
                <w:sz w:val="20"/>
              </w:rPr>
              <w:t>File parsing, validation, normalization, error handling, and idempotency.</w:t>
            </w:r>
          </w:p>
        </w:tc>
      </w:tr>
      <w:tr>
        <w:tc>
          <w:tcPr>
            <w:tcW w:type="dxa" w:w="2300"/>
            <w:tcMar>
              <w:top w:w="80" w:type="dxa"/>
              <w:start w:w="120" w:type="dxa"/>
              <w:bottom w:w="80" w:type="dxa"/>
              <w:end w:w="120" w:type="dxa"/>
            </w:tcMar>
            <w:vAlign w:val="center"/>
          </w:tcPr>
          <w:p>
            <w:pPr>
              <w:spacing w:before="0" w:after="0" w:line="264" w:lineRule="auto"/>
            </w:pPr>
            <w:r>
              <w:rPr>
                <w:rFonts w:ascii="Calibri" w:hAnsi="Calibri"/>
                <w:color w:val="141E2D"/>
                <w:sz w:val="20"/>
              </w:rPr>
              <w:t>Layered backend</w:t>
            </w:r>
          </w:p>
        </w:tc>
        <w:tc>
          <w:tcPr>
            <w:tcW w:type="dxa" w:w="7060"/>
            <w:tcMar>
              <w:top w:w="80" w:type="dxa"/>
              <w:start w:w="120" w:type="dxa"/>
              <w:bottom w:w="80" w:type="dxa"/>
              <w:end w:w="120" w:type="dxa"/>
            </w:tcMar>
            <w:vAlign w:val="center"/>
          </w:tcPr>
          <w:p>
            <w:pPr>
              <w:spacing w:before="0" w:after="0" w:line="264" w:lineRule="auto"/>
            </w:pPr>
            <w:r>
              <w:rPr>
                <w:rFonts w:ascii="Calibri" w:hAnsi="Calibri"/>
                <w:color w:val="141E2D"/>
                <w:sz w:val="20"/>
              </w:rPr>
              <w:t>Maintainability, testability, and professional API organization.</w:t>
            </w:r>
          </w:p>
        </w:tc>
      </w:tr>
      <w:tr>
        <w:tc>
          <w:tcPr>
            <w:tcW w:type="dxa" w:w="2300"/>
            <w:tcMar>
              <w:top w:w="80" w:type="dxa"/>
              <w:start w:w="120" w:type="dxa"/>
              <w:bottom w:w="80" w:type="dxa"/>
              <w:end w:w="120" w:type="dxa"/>
            </w:tcMar>
            <w:vAlign w:val="center"/>
          </w:tcPr>
          <w:p>
            <w:pPr>
              <w:spacing w:before="0" w:after="0" w:line="264" w:lineRule="auto"/>
            </w:pPr>
            <w:r>
              <w:rPr>
                <w:rFonts w:ascii="Calibri" w:hAnsi="Calibri"/>
                <w:color w:val="141E2D"/>
                <w:sz w:val="20"/>
              </w:rPr>
              <w:t>Rule engine</w:t>
            </w:r>
          </w:p>
        </w:tc>
        <w:tc>
          <w:tcPr>
            <w:tcW w:type="dxa" w:w="7060"/>
            <w:tcMar>
              <w:top w:w="80" w:type="dxa"/>
              <w:start w:w="120" w:type="dxa"/>
              <w:bottom w:w="80" w:type="dxa"/>
              <w:end w:w="120" w:type="dxa"/>
            </w:tcMar>
            <w:vAlign w:val="center"/>
          </w:tcPr>
          <w:p>
            <w:pPr>
              <w:spacing w:before="0" w:after="0" w:line="264" w:lineRule="auto"/>
            </w:pPr>
            <w:r>
              <w:rPr>
                <w:rFonts w:ascii="Calibri" w:hAnsi="Calibri"/>
                <w:color w:val="141E2D"/>
                <w:sz w:val="20"/>
              </w:rPr>
              <w:t>Deterministic automation and domain modeling beyond basic CRUD.</w:t>
            </w:r>
          </w:p>
        </w:tc>
      </w:tr>
      <w:tr>
        <w:tc>
          <w:tcPr>
            <w:tcW w:type="dxa" w:w="2300"/>
            <w:tcMar>
              <w:top w:w="80" w:type="dxa"/>
              <w:start w:w="120" w:type="dxa"/>
              <w:bottom w:w="80" w:type="dxa"/>
              <w:end w:w="120" w:type="dxa"/>
            </w:tcMar>
            <w:vAlign w:val="center"/>
          </w:tcPr>
          <w:p>
            <w:pPr>
              <w:spacing w:before="0" w:after="0" w:line="264" w:lineRule="auto"/>
            </w:pPr>
            <w:r>
              <w:rPr>
                <w:rFonts w:ascii="Calibri" w:hAnsi="Calibri"/>
                <w:color w:val="141E2D"/>
                <w:sz w:val="20"/>
              </w:rPr>
              <w:t>Optional AI</w:t>
            </w:r>
          </w:p>
        </w:tc>
        <w:tc>
          <w:tcPr>
            <w:tcW w:type="dxa" w:w="7060"/>
            <w:tcMar>
              <w:top w:w="80" w:type="dxa"/>
              <w:start w:w="120" w:type="dxa"/>
              <w:bottom w:w="80" w:type="dxa"/>
              <w:end w:w="120" w:type="dxa"/>
            </w:tcMar>
            <w:vAlign w:val="center"/>
          </w:tcPr>
          <w:p>
            <w:pPr>
              <w:spacing w:before="0" w:after="0" w:line="264" w:lineRule="auto"/>
            </w:pPr>
            <w:r>
              <w:rPr>
                <w:rFonts w:ascii="Calibri" w:hAnsi="Calibri"/>
                <w:color w:val="141E2D"/>
                <w:sz w:val="20"/>
              </w:rPr>
              <w:t>Modern AI integration without making the product dependent on a model provider.</w:t>
            </w:r>
          </w:p>
        </w:tc>
      </w:tr>
    </w:tbl>
    <w:p>
      <w:pPr>
        <w:spacing w:after="80"/>
      </w:pPr>
    </w:p>
    <w:p>
      <w:pPr>
        <w:pStyle w:val="Heading1"/>
        <w:spacing w:before="320" w:after="160"/>
      </w:pPr>
      <w:r>
        <w:rPr>
          <w:rFonts w:ascii="Calibri" w:hAnsi="Calibri"/>
          <w:b/>
          <w:color w:val="2E74B5"/>
          <w:sz w:val="32"/>
        </w:rPr>
        <w:t>Final Recommendation</w:t>
      </w:r>
    </w:p>
    <w:p>
      <w:pPr>
        <w:spacing w:before="0" w:after="120" w:line="264" w:lineRule="auto"/>
      </w:pPr>
      <w:r>
        <w:rPr>
          <w:rFonts w:ascii="Calibri" w:hAnsi="Calibri"/>
          <w:color w:val="141E2D"/>
          <w:sz w:val="22"/>
        </w:rPr>
        <w:t>The proposed architecture is strong and should remain intentionally pragmatic. The non-negotiable upgrades are TypeScript throughout the stack, Drizzle ORM with SQLite, and a clean backend layer model. Those choices preserve simplicity while making the project feel professional, credible, and valuable for SWE/backend interviews.</w:t>
      </w:r>
    </w:p>
    <w:tbl>
      <w:tblPr>
        <w:tblW w:type="dxa" w:w="9360"/>
        <w:tblLayout w:type="fixed"/>
        <w:tblLook w:firstColumn="1" w:firstRow="1" w:lastColumn="0" w:lastRow="0" w:noHBand="0" w:noVBand="1" w:val="04A0"/>
        <w:jc w:val="left"/>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300"/>
        <w:gridCol w:w="7060"/>
      </w:tblGrid>
      <w:tr>
        <w:trPr>
          <w:tblHeader w:val="true"/>
        </w:trPr>
        <w:tc>
          <w:tcPr>
            <w:tcW w:type="dxa" w:w="2300"/>
            <w:tcMar>
              <w:top w:w="80" w:type="dxa"/>
              <w:start w:w="120" w:type="dxa"/>
              <w:bottom w:w="80" w:type="dxa"/>
              <w:end w:w="120" w:type="dxa"/>
            </w:tcMar>
            <w:vAlign w:val="center"/>
            <w:shd w:fill="F2F4F7"/>
          </w:tcPr>
          <w:p>
            <w:pPr>
              <w:spacing w:before="0" w:after="0" w:line="264" w:lineRule="auto"/>
            </w:pPr>
            <w:r>
              <w:rPr>
                <w:rFonts w:ascii="Calibri" w:hAnsi="Calibri"/>
                <w:b/>
                <w:color w:val="1F4D78"/>
                <w:sz w:val="20"/>
              </w:rPr>
              <w:t>Area</w:t>
            </w:r>
          </w:p>
        </w:tc>
        <w:tc>
          <w:tcPr>
            <w:tcW w:type="dxa" w:w="7060"/>
            <w:tcMar>
              <w:top w:w="80" w:type="dxa"/>
              <w:start w:w="120" w:type="dxa"/>
              <w:bottom w:w="80" w:type="dxa"/>
              <w:end w:w="120" w:type="dxa"/>
            </w:tcMar>
            <w:vAlign w:val="center"/>
            <w:shd w:fill="F2F4F7"/>
          </w:tcPr>
          <w:p>
            <w:pPr>
              <w:spacing w:before="0" w:after="0" w:line="264" w:lineRule="auto"/>
            </w:pPr>
            <w:r>
              <w:rPr>
                <w:rFonts w:ascii="Calibri" w:hAnsi="Calibri"/>
                <w:b/>
                <w:color w:val="1F4D78"/>
                <w:sz w:val="20"/>
              </w:rPr>
              <w:t>Assessment</w:t>
            </w:r>
          </w:p>
        </w:tc>
      </w:tr>
      <w:tr>
        <w:tc>
          <w:tcPr>
            <w:tcW w:type="dxa" w:w="2300"/>
            <w:tcMar>
              <w:top w:w="80" w:type="dxa"/>
              <w:start w:w="120" w:type="dxa"/>
              <w:bottom w:w="80" w:type="dxa"/>
              <w:end w:w="120" w:type="dxa"/>
            </w:tcMar>
            <w:vAlign w:val="center"/>
          </w:tcPr>
          <w:p>
            <w:pPr>
              <w:spacing w:before="0" w:after="0" w:line="264" w:lineRule="auto"/>
            </w:pPr>
            <w:r>
              <w:rPr>
                <w:rFonts w:ascii="Calibri" w:hAnsi="Calibri"/>
                <w:color w:val="141E2D"/>
                <w:sz w:val="20"/>
              </w:rPr>
              <w:t>Architecture</w:t>
            </w:r>
          </w:p>
        </w:tc>
        <w:tc>
          <w:tcPr>
            <w:tcW w:type="dxa" w:w="7060"/>
            <w:tcMar>
              <w:top w:w="80" w:type="dxa"/>
              <w:start w:w="120" w:type="dxa"/>
              <w:bottom w:w="80" w:type="dxa"/>
              <w:end w:w="120" w:type="dxa"/>
            </w:tcMar>
            <w:vAlign w:val="center"/>
          </w:tcPr>
          <w:p>
            <w:pPr>
              <w:spacing w:before="0" w:after="0" w:line="264" w:lineRule="auto"/>
            </w:pPr>
            <w:r>
              <w:rPr>
                <w:rFonts w:ascii="Calibri" w:hAnsi="Calibri"/>
                <w:color w:val="141E2D"/>
                <w:sz w:val="20"/>
              </w:rPr>
              <w:t>Excellent fit for a local-first portfolio project.</w:t>
            </w:r>
          </w:p>
        </w:tc>
      </w:tr>
      <w:tr>
        <w:tc>
          <w:tcPr>
            <w:tcW w:type="dxa" w:w="2300"/>
            <w:tcMar>
              <w:top w:w="80" w:type="dxa"/>
              <w:start w:w="120" w:type="dxa"/>
              <w:bottom w:w="80" w:type="dxa"/>
              <w:end w:w="120" w:type="dxa"/>
            </w:tcMar>
            <w:vAlign w:val="center"/>
          </w:tcPr>
          <w:p>
            <w:pPr>
              <w:spacing w:before="0" w:after="0" w:line="264" w:lineRule="auto"/>
            </w:pPr>
            <w:r>
              <w:rPr>
                <w:rFonts w:ascii="Calibri" w:hAnsi="Calibri"/>
                <w:color w:val="141E2D"/>
                <w:sz w:val="20"/>
              </w:rPr>
              <w:t>Technology Choices</w:t>
            </w:r>
          </w:p>
        </w:tc>
        <w:tc>
          <w:tcPr>
            <w:tcW w:type="dxa" w:w="7060"/>
            <w:tcMar>
              <w:top w:w="80" w:type="dxa"/>
              <w:start w:w="120" w:type="dxa"/>
              <w:bottom w:w="80" w:type="dxa"/>
              <w:end w:w="120" w:type="dxa"/>
            </w:tcMar>
            <w:vAlign w:val="center"/>
          </w:tcPr>
          <w:p>
            <w:pPr>
              <w:spacing w:before="0" w:after="0" w:line="264" w:lineRule="auto"/>
            </w:pPr>
            <w:r>
              <w:rPr>
                <w:rFonts w:ascii="Calibri" w:hAnsi="Calibri"/>
                <w:color w:val="141E2D"/>
                <w:sz w:val="20"/>
              </w:rPr>
              <w:t>Strong, especially with TypeScript and Drizzle added.</w:t>
            </w:r>
          </w:p>
        </w:tc>
      </w:tr>
      <w:tr>
        <w:tc>
          <w:tcPr>
            <w:tcW w:type="dxa" w:w="2300"/>
            <w:tcMar>
              <w:top w:w="80" w:type="dxa"/>
              <w:start w:w="120" w:type="dxa"/>
              <w:bottom w:w="80" w:type="dxa"/>
              <w:end w:w="120" w:type="dxa"/>
            </w:tcMar>
            <w:vAlign w:val="center"/>
          </w:tcPr>
          <w:p>
            <w:pPr>
              <w:spacing w:before="0" w:after="0" w:line="264" w:lineRule="auto"/>
            </w:pPr>
            <w:r>
              <w:rPr>
                <w:rFonts w:ascii="Calibri" w:hAnsi="Calibri"/>
                <w:color w:val="141E2D"/>
                <w:sz w:val="20"/>
              </w:rPr>
              <w:t>Developer Experience</w:t>
            </w:r>
          </w:p>
        </w:tc>
        <w:tc>
          <w:tcPr>
            <w:tcW w:type="dxa" w:w="7060"/>
            <w:tcMar>
              <w:top w:w="80" w:type="dxa"/>
              <w:start w:w="120" w:type="dxa"/>
              <w:bottom w:w="80" w:type="dxa"/>
              <w:end w:w="120" w:type="dxa"/>
            </w:tcMar>
            <w:vAlign w:val="center"/>
          </w:tcPr>
          <w:p>
            <w:pPr>
              <w:spacing w:before="0" w:after="0" w:line="264" w:lineRule="auto"/>
            </w:pPr>
            <w:r>
              <w:rPr>
                <w:rFonts w:ascii="Calibri" w:hAnsi="Calibri"/>
                <w:color w:val="141E2D"/>
                <w:sz w:val="20"/>
              </w:rPr>
              <w:t>High, if setup scripts, migrations, seed data, and Docker are documented.</w:t>
            </w:r>
          </w:p>
        </w:tc>
      </w:tr>
      <w:tr>
        <w:tc>
          <w:tcPr>
            <w:tcW w:type="dxa" w:w="2300"/>
            <w:tcMar>
              <w:top w:w="80" w:type="dxa"/>
              <w:start w:w="120" w:type="dxa"/>
              <w:bottom w:w="80" w:type="dxa"/>
              <w:end w:w="120" w:type="dxa"/>
            </w:tcMar>
            <w:vAlign w:val="center"/>
          </w:tcPr>
          <w:p>
            <w:pPr>
              <w:spacing w:before="0" w:after="0" w:line="264" w:lineRule="auto"/>
            </w:pPr>
            <w:r>
              <w:rPr>
                <w:rFonts w:ascii="Calibri" w:hAnsi="Calibri"/>
                <w:color w:val="141E2D"/>
                <w:sz w:val="20"/>
              </w:rPr>
              <w:t>Scalability</w:t>
            </w:r>
          </w:p>
        </w:tc>
        <w:tc>
          <w:tcPr>
            <w:tcW w:type="dxa" w:w="7060"/>
            <w:tcMar>
              <w:top w:w="80" w:type="dxa"/>
              <w:start w:w="120" w:type="dxa"/>
              <w:bottom w:w="80" w:type="dxa"/>
              <w:end w:w="120" w:type="dxa"/>
            </w:tcMar>
            <w:vAlign w:val="center"/>
          </w:tcPr>
          <w:p>
            <w:pPr>
              <w:spacing w:before="0" w:after="0" w:line="264" w:lineRule="auto"/>
            </w:pPr>
            <w:r>
              <w:rPr>
                <w:rFonts w:ascii="Calibri" w:hAnsi="Calibri"/>
                <w:color w:val="141E2D"/>
                <w:sz w:val="20"/>
              </w:rPr>
              <w:t>Appropriate for the use case; avoid scaling concerns that do not match the product.</w:t>
            </w:r>
          </w:p>
        </w:tc>
      </w:tr>
      <w:tr>
        <w:tc>
          <w:tcPr>
            <w:tcW w:type="dxa" w:w="2300"/>
            <w:tcMar>
              <w:top w:w="80" w:type="dxa"/>
              <w:start w:w="120" w:type="dxa"/>
              <w:bottom w:w="80" w:type="dxa"/>
              <w:end w:w="120" w:type="dxa"/>
            </w:tcMar>
            <w:vAlign w:val="center"/>
          </w:tcPr>
          <w:p>
            <w:pPr>
              <w:spacing w:before="0" w:after="0" w:line="264" w:lineRule="auto"/>
            </w:pPr>
            <w:r>
              <w:rPr>
                <w:rFonts w:ascii="Calibri" w:hAnsi="Calibri"/>
                <w:color w:val="141E2D"/>
                <w:sz w:val="20"/>
              </w:rPr>
              <w:t>Resume Impact</w:t>
            </w:r>
          </w:p>
        </w:tc>
        <w:tc>
          <w:tcPr>
            <w:tcW w:type="dxa" w:w="7060"/>
            <w:tcMar>
              <w:top w:w="80" w:type="dxa"/>
              <w:start w:w="120" w:type="dxa"/>
              <w:bottom w:w="80" w:type="dxa"/>
              <w:end w:w="120" w:type="dxa"/>
            </w:tcMar>
            <w:vAlign w:val="center"/>
          </w:tcPr>
          <w:p>
            <w:pPr>
              <w:spacing w:before="0" w:after="0" w:line="264" w:lineRule="auto"/>
            </w:pPr>
            <w:r>
              <w:rPr>
                <w:rFonts w:ascii="Calibri" w:hAnsi="Calibri"/>
                <w:color w:val="141E2D"/>
                <w:sz w:val="20"/>
              </w:rPr>
              <w:t>High, because the project shows real engineering decisions beyond UI CRUD.</w:t>
            </w:r>
          </w:p>
        </w:tc>
      </w:tr>
    </w:tbl>
    <w:p>
      <w:pPr>
        <w:spacing w:after="80"/>
      </w:pPr>
    </w:p>
    <w:sectPr>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06A"/>
        <w:sz w:val="18"/>
      </w:rPr>
      <w:t>GhostLedger Technical Architecture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41E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