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LICENSE AGREEMENT</w:t>
      </w:r>
    </w:p>
    <w:p/>
    <w:p>
      <w:r>
        <w:t>This Agreement is entered into as of 26 August 2025 between Fenwick Systems ("Provider") and Brindle Systems ("Client").</w:t>
      </w:r>
    </w:p>
    <w:p/>
    <w:p>
      <w:r>
        <w:t>1. Term. This Agreement remains in force for 13 months and renews unless terminated.</w:t>
      </w:r>
    </w:p>
    <w:p>
      <w:r>
        <w:t>2. Fees. The Client shall pay the Provider EUR 108,130.43 per year in accordance with the payment schedule.</w:t>
      </w:r>
    </w:p>
    <w:p>
      <w:r>
        <w:t>3. Confidentiality. Each party shall keep the other party's information confidential.</w:t>
      </w:r>
    </w:p>
    <w:p>
      <w:r>
        <w:t>4. Governing Law. This Agreement is governed by the laws of the State of Delaware.</w:t>
      </w:r>
    </w:p>
    <w:p>
      <w:r>
        <w:t>5. Notices. Legal notices shall be sent to contact@example.net.</w:t>
      </w:r>
    </w:p>
    <w:p/>
    <w:p>
      <w:r>
        <w:t>Signed:</w:t>
      </w:r>
    </w:p>
    <w:p>
      <w:r>
        <w:t>Charles Hunt, Provider</w:t>
      </w:r>
    </w:p>
    <w:p>
      <w:r>
        <w:t>Frederick Peterson, Client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