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4DF6" w14:textId="77777777" w:rsidR="00F95AA2" w:rsidRPr="004B280C" w:rsidRDefault="00F95AA2" w:rsidP="00F95AA2">
      <w:pPr>
        <w:spacing w:after="160" w:line="278" w:lineRule="auto"/>
        <w:rPr>
          <w:rFonts w:ascii="Arial" w:hAnsi="Arial" w:cs="Arial"/>
          <w:b/>
          <w:bCs/>
        </w:rPr>
      </w:pPr>
      <w:r w:rsidRPr="004B280C">
        <w:rPr>
          <w:rFonts w:ascii="Arial" w:eastAsiaTheme="majorEastAsia" w:hAnsi="Arial" w:cs="Arial"/>
          <w:b/>
          <w:bCs/>
        </w:rPr>
        <w:t>15_Needham_et_al_2022</w:t>
      </w:r>
    </w:p>
    <w:p w14:paraId="5CE8A03F" w14:textId="77777777" w:rsidR="00F95AA2" w:rsidRPr="004B280C" w:rsidRDefault="00F95AA2" w:rsidP="00F95AA2">
      <w:pPr>
        <w:spacing w:after="160" w:line="278" w:lineRule="auto"/>
        <w:rPr>
          <w:rFonts w:ascii="Arial" w:hAnsi="Arial" w:cs="Arial"/>
        </w:rPr>
      </w:pPr>
      <w:r w:rsidRPr="004B280C">
        <w:rPr>
          <w:rFonts w:ascii="Arial" w:hAnsi="Arial" w:cs="Arial"/>
        </w:rPr>
        <w:t>Link: https://onlinelibrary.wiley.com/doi/full/10.1111/gcb.16100</w:t>
      </w:r>
    </w:p>
    <w:p w14:paraId="63586E78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4B280C">
        <w:rPr>
          <w:rFonts w:ascii="Arial" w:hAnsi="Arial" w:cs="Arial"/>
        </w:rPr>
        <w:t>Aim: This study evaluates how demographic diversity (DD</w:t>
      </w:r>
      <w:proofErr w:type="gramStart"/>
      <w:r w:rsidRPr="004B280C">
        <w:rPr>
          <w:rFonts w:ascii="Arial" w:hAnsi="Arial" w:cs="Arial"/>
        </w:rPr>
        <w:t>)</w:t>
      </w:r>
      <w:proofErr w:type="gramEnd"/>
      <w:r w:rsidRPr="004B280C">
        <w:rPr>
          <w:rFonts w:ascii="Arial" w:hAnsi="Arial" w:cs="Arial"/>
        </w:rPr>
        <w:t xml:space="preserve"> and demographic composition (DC) differ across temperate and tropical forests and how these differences relate to species richness, aboveground biomass (AGB), and carbon residence time.</w:t>
      </w:r>
    </w:p>
    <w:p w14:paraId="5292ECC6" w14:textId="77777777" w:rsidR="00F95AA2" w:rsidRPr="00EC7463" w:rsidRDefault="00F95AA2" w:rsidP="00F95AA2">
      <w:pPr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Files in data folder: </w:t>
      </w:r>
    </w:p>
    <w:p w14:paraId="69925972" w14:textId="77777777" w:rsidR="00F95AA2" w:rsidRPr="00EC7463" w:rsidRDefault="00F95AA2" w:rsidP="00F95AA2">
      <w:pPr>
        <w:rPr>
          <w:rFonts w:ascii="Arial" w:hAnsi="Arial" w:cs="Arial"/>
          <w:u w:val="single"/>
        </w:rPr>
      </w:pPr>
    </w:p>
    <w:p w14:paraId="2E7E4B5F" w14:textId="77777777" w:rsidR="00F95AA2" w:rsidRPr="00EC7463" w:rsidRDefault="00F95AA2" w:rsidP="00F95AA2">
      <w:pPr>
        <w:rPr>
          <w:rFonts w:ascii="Arial" w:hAnsi="Arial" w:cs="Arial"/>
          <w:u w:val="single"/>
        </w:rPr>
      </w:pPr>
      <w:r w:rsidRPr="00EC7463">
        <w:rPr>
          <w:rFonts w:ascii="Arial" w:hAnsi="Arial" w:cs="Arial"/>
          <w:u w:val="single"/>
        </w:rPr>
        <w:t>github_demographic_rate_</w:t>
      </w:r>
      <w:proofErr w:type="gramStart"/>
      <w:r w:rsidRPr="00EC7463">
        <w:rPr>
          <w:rFonts w:ascii="Arial" w:hAnsi="Arial" w:cs="Arial"/>
          <w:u w:val="single"/>
        </w:rPr>
        <w:t>params.RData</w:t>
      </w:r>
      <w:proofErr w:type="gramEnd"/>
    </w:p>
    <w:p w14:paraId="3E1E5700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>Each row corresponds to one species in each site. The demographic parameters were calculated based on a size dependent survival model (Figure 1).</w:t>
      </w:r>
    </w:p>
    <w:p w14:paraId="2CFC6C86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</w:p>
    <w:p w14:paraId="6ADC1C21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fldChar w:fldCharType="begin"/>
      </w:r>
      <w:r w:rsidRPr="00EC7463">
        <w:rPr>
          <w:rFonts w:ascii="Arial" w:hAnsi="Arial" w:cs="Arial"/>
        </w:rPr>
        <w:instrText xml:space="preserve"> INCLUDEPICTURE "https://media.springernature.com/full/springer-static/esm/art%3A10.1038%2Fs41586-022-04737-7/MediaObjects/41586_2022_4737_Fig5_ESM.jpg" \* MERGEFORMATINET </w:instrText>
      </w:r>
      <w:r w:rsidRPr="00EC7463">
        <w:rPr>
          <w:rFonts w:ascii="Arial" w:hAnsi="Arial" w:cs="Arial"/>
        </w:rPr>
        <w:fldChar w:fldCharType="separate"/>
      </w:r>
      <w:r w:rsidRPr="00EC7463">
        <w:rPr>
          <w:rFonts w:ascii="Arial" w:hAnsi="Arial" w:cs="Arial"/>
          <w:noProof/>
        </w:rPr>
        <w:drawing>
          <wp:inline distT="0" distB="0" distL="0" distR="0" wp14:anchorId="203C7525" wp14:editId="4A66C83C">
            <wp:extent cx="4249271" cy="3172426"/>
            <wp:effectExtent l="0" t="0" r="5715" b="3175"/>
            <wp:docPr id="1664642363" name="Picture 2" descr="Extended Data 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tended Data Fig.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77" cy="318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463">
        <w:rPr>
          <w:rFonts w:ascii="Arial" w:hAnsi="Arial" w:cs="Arial"/>
        </w:rPr>
        <w:fldChar w:fldCharType="end"/>
      </w:r>
    </w:p>
    <w:p w14:paraId="19301AD2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>Figure 1. Survival probability per year (theta) for a given species is defined by either one of two similar logistic functions, depending on a tree diameter (DBH) threshold, only changing in the sign of </w:t>
      </w:r>
      <w:r w:rsidRPr="00EC7463">
        <w:rPr>
          <w:rFonts w:ascii="Arial" w:hAnsi="Arial" w:cs="Arial"/>
          <w:i/>
          <w:iCs/>
        </w:rPr>
        <w:t>r</w:t>
      </w:r>
      <w:r w:rsidRPr="00EC7463">
        <w:rPr>
          <w:rFonts w:ascii="Arial" w:hAnsi="Arial" w:cs="Arial"/>
        </w:rPr>
        <w:t> (</w:t>
      </w:r>
      <w:r w:rsidRPr="00EC7463">
        <w:rPr>
          <w:rFonts w:ascii="Arial" w:hAnsi="Arial" w:cs="Arial"/>
          <w:i/>
          <w:iCs/>
        </w:rPr>
        <w:t>r1</w:t>
      </w:r>
      <w:r w:rsidRPr="00EC7463">
        <w:rPr>
          <w:rFonts w:ascii="Arial" w:hAnsi="Arial" w:cs="Arial"/>
        </w:rPr>
        <w:t> &gt; 0, </w:t>
      </w:r>
      <w:r w:rsidRPr="00EC7463">
        <w:rPr>
          <w:rFonts w:ascii="Arial" w:hAnsi="Arial" w:cs="Arial"/>
          <w:i/>
          <w:iCs/>
        </w:rPr>
        <w:t>r2</w:t>
      </w:r>
      <w:r w:rsidRPr="00EC7463">
        <w:rPr>
          <w:rFonts w:ascii="Arial" w:hAnsi="Arial" w:cs="Arial"/>
        </w:rPr>
        <w:t> &lt; 0), yielding two S-shaped logistic function related through their common plateau </w:t>
      </w:r>
      <w:r w:rsidRPr="00EC7463">
        <w:rPr>
          <w:rFonts w:ascii="Arial" w:hAnsi="Arial" w:cs="Arial"/>
          <w:i/>
          <w:iCs/>
        </w:rPr>
        <w:t>K</w:t>
      </w:r>
      <w:r w:rsidRPr="00EC7463">
        <w:rPr>
          <w:rFonts w:ascii="Arial" w:hAnsi="Arial" w:cs="Arial"/>
        </w:rPr>
        <w:t xml:space="preserve">. detailed information can be found at </w:t>
      </w:r>
      <w:hyperlink r:id="rId5" w:history="1">
        <w:r w:rsidRPr="00EC7463">
          <w:rPr>
            <w:rStyle w:val="Hyperlink"/>
            <w:rFonts w:ascii="Arial" w:hAnsi="Arial" w:cs="Arial"/>
          </w:rPr>
          <w:t>https://www.nature.com/articles/s41586-022-04737-7/figures/5</w:t>
        </w:r>
      </w:hyperlink>
      <w:r w:rsidRPr="00EC7463">
        <w:rPr>
          <w:rFonts w:ascii="Arial" w:hAnsi="Arial" w:cs="Arial"/>
        </w:rPr>
        <w:t xml:space="preserve"> . for the exercise you will only </w:t>
      </w:r>
      <w:proofErr w:type="spellStart"/>
      <w:r w:rsidRPr="00EC7463">
        <w:rPr>
          <w:rFonts w:ascii="Arial" w:hAnsi="Arial" w:cs="Arial"/>
        </w:rPr>
        <w:t>used</w:t>
      </w:r>
      <w:proofErr w:type="spellEnd"/>
      <w:r w:rsidRPr="00EC7463">
        <w:rPr>
          <w:rFonts w:ascii="Arial" w:hAnsi="Arial" w:cs="Arial"/>
        </w:rPr>
        <w:t xml:space="preserve"> the estimated parameters described below.</w:t>
      </w:r>
    </w:p>
    <w:p w14:paraId="6581B54A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</w:p>
    <w:p w14:paraId="3C14D144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4B280C">
        <w:rPr>
          <w:rFonts w:ascii="Arial" w:hAnsi="Arial" w:cs="Arial"/>
        </w:rPr>
        <w:t>N</w:t>
      </w:r>
      <w:r w:rsidRPr="00EC7463">
        <w:rPr>
          <w:rFonts w:ascii="Arial" w:hAnsi="Arial" w:cs="Arial"/>
        </w:rPr>
        <w:t>:</w:t>
      </w:r>
      <w:r w:rsidRPr="004B280C">
        <w:rPr>
          <w:rFonts w:ascii="Arial" w:hAnsi="Arial" w:cs="Arial"/>
        </w:rPr>
        <w:t xml:space="preserve"> number of individuals</w:t>
      </w:r>
      <w:r w:rsidRPr="00EC7463">
        <w:rPr>
          <w:rFonts w:ascii="Arial" w:hAnsi="Arial" w:cs="Arial"/>
        </w:rPr>
        <w:t xml:space="preserve"> per species</w:t>
      </w:r>
      <w:r w:rsidRPr="004B280C">
        <w:rPr>
          <w:rFonts w:ascii="Arial" w:hAnsi="Arial" w:cs="Arial"/>
        </w:rPr>
        <w:t xml:space="preserve">. </w:t>
      </w:r>
    </w:p>
    <w:p w14:paraId="05AD0170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>K: K is the upper asymptote of the curves and represents maximum survival (MS)</w:t>
      </w:r>
    </w:p>
    <w:p w14:paraId="591CD019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lastRenderedPageBreak/>
        <w:t xml:space="preserve">p1: inflection point, i.e., the size at which survival probability is 0.5 </w:t>
      </w:r>
      <w:r w:rsidRPr="00EC7463">
        <w:rPr>
          <w:rFonts w:ascii="Arial" w:hAnsi="Arial" w:cs="Arial"/>
          <w:u w:val="single"/>
        </w:rPr>
        <w:t>below</w:t>
      </w:r>
      <w:r w:rsidRPr="00EC7463">
        <w:rPr>
          <w:rFonts w:ascii="Arial" w:hAnsi="Arial" w:cs="Arial"/>
        </w:rPr>
        <w:t xml:space="preserve"> the DBH threshold where the curves meet (defined as c = 0.2 × max (DBH)) (Equation 1 in the paper).</w:t>
      </w:r>
    </w:p>
    <w:p w14:paraId="41682194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r1: rate parameter that determines the rate of survival </w:t>
      </w:r>
      <w:r w:rsidRPr="00EC7463">
        <w:rPr>
          <w:rFonts w:ascii="Arial" w:hAnsi="Arial" w:cs="Arial"/>
          <w:u w:val="single"/>
        </w:rPr>
        <w:t>increases</w:t>
      </w:r>
      <w:r w:rsidRPr="00EC7463">
        <w:rPr>
          <w:rFonts w:ascii="Arial" w:hAnsi="Arial" w:cs="Arial"/>
        </w:rPr>
        <w:t xml:space="preserve"> with size</w:t>
      </w:r>
    </w:p>
    <w:p w14:paraId="52DD0414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p2: inflection point, i.e., the size at which survival probability is 0.5 </w:t>
      </w:r>
      <w:r w:rsidRPr="00EC7463">
        <w:rPr>
          <w:rFonts w:ascii="Arial" w:hAnsi="Arial" w:cs="Arial"/>
          <w:u w:val="single"/>
        </w:rPr>
        <w:t>above</w:t>
      </w:r>
      <w:r w:rsidRPr="00EC7463">
        <w:rPr>
          <w:rFonts w:ascii="Arial" w:hAnsi="Arial" w:cs="Arial"/>
        </w:rPr>
        <w:t xml:space="preserve"> the DBH threshold where the curves meet (defined as c = 0.2 × max (DBH)) (Equation 1 in the paper).</w:t>
      </w:r>
    </w:p>
    <w:p w14:paraId="03F260E4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r2: rate parameter that determines the rate of survival </w:t>
      </w:r>
      <w:r w:rsidRPr="00EC7463">
        <w:rPr>
          <w:rFonts w:ascii="Arial" w:hAnsi="Arial" w:cs="Arial"/>
          <w:u w:val="single"/>
        </w:rPr>
        <w:t>decreases</w:t>
      </w:r>
      <w:r w:rsidRPr="00EC7463">
        <w:rPr>
          <w:rFonts w:ascii="Arial" w:hAnsi="Arial" w:cs="Arial"/>
        </w:rPr>
        <w:t xml:space="preserve"> with size</w:t>
      </w:r>
    </w:p>
    <w:p w14:paraId="047BB458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>thresh: DBH threshold where the curves meet (defined as c = 0.2 × max (DBH)) (Equation 1 in the paper).</w:t>
      </w:r>
    </w:p>
    <w:p w14:paraId="18C23936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proofErr w:type="spellStart"/>
      <w:r w:rsidRPr="00EC7463">
        <w:rPr>
          <w:rFonts w:ascii="Arial" w:hAnsi="Arial" w:cs="Arial"/>
        </w:rPr>
        <w:t>maxsurv</w:t>
      </w:r>
      <w:proofErr w:type="spellEnd"/>
      <w:r w:rsidRPr="00EC7463">
        <w:rPr>
          <w:rFonts w:ascii="Arial" w:hAnsi="Arial" w:cs="Arial"/>
        </w:rPr>
        <w:t>: same as K.</w:t>
      </w:r>
    </w:p>
    <w:p w14:paraId="6E198AA8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surv.sm: </w:t>
      </w:r>
      <w:r w:rsidRPr="004B280C">
        <w:rPr>
          <w:rFonts w:ascii="Arial" w:hAnsi="Arial" w:cs="Arial"/>
        </w:rPr>
        <w:t xml:space="preserve">survival at 10 cm </w:t>
      </w:r>
      <w:proofErr w:type="spellStart"/>
      <w:r w:rsidRPr="004B280C">
        <w:rPr>
          <w:rFonts w:ascii="Arial" w:hAnsi="Arial" w:cs="Arial"/>
        </w:rPr>
        <w:t>dbh</w:t>
      </w:r>
      <w:proofErr w:type="spellEnd"/>
    </w:p>
    <w:p w14:paraId="64E93827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alpha1: parameter from the model fit – not needed    </w:t>
      </w:r>
    </w:p>
    <w:p w14:paraId="621C2A60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alpha2: parameter from the model fit – not needed         </w:t>
      </w:r>
    </w:p>
    <w:p w14:paraId="6D928887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beta1: parameter from the model fit – not needed         </w:t>
      </w:r>
    </w:p>
    <w:p w14:paraId="298C9336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beta2: parameter from the model fit – not needed     </w:t>
      </w:r>
    </w:p>
    <w:p w14:paraId="10F85550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proofErr w:type="spellStart"/>
      <w:proofErr w:type="gramStart"/>
      <w:r w:rsidRPr="00EC7463">
        <w:rPr>
          <w:rFonts w:ascii="Arial" w:hAnsi="Arial" w:cs="Arial"/>
        </w:rPr>
        <w:t>incr.thresh</w:t>
      </w:r>
      <w:proofErr w:type="spellEnd"/>
      <w:proofErr w:type="gramEnd"/>
      <w:r w:rsidRPr="00EC7463">
        <w:rPr>
          <w:rFonts w:ascii="Arial" w:hAnsi="Arial" w:cs="Arial"/>
        </w:rPr>
        <w:t xml:space="preserve">: parameter from the model fit – not needed      </w:t>
      </w:r>
    </w:p>
    <w:p w14:paraId="21ED979C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proofErr w:type="spellStart"/>
      <w:proofErr w:type="gramStart"/>
      <w:r w:rsidRPr="00EC7463">
        <w:rPr>
          <w:rFonts w:ascii="Arial" w:hAnsi="Arial" w:cs="Arial"/>
        </w:rPr>
        <w:t>ex.slow</w:t>
      </w:r>
      <w:proofErr w:type="spellEnd"/>
      <w:proofErr w:type="gramEnd"/>
      <w:r w:rsidRPr="00EC7463">
        <w:rPr>
          <w:rFonts w:ascii="Arial" w:hAnsi="Arial" w:cs="Arial"/>
        </w:rPr>
        <w:t xml:space="preserve"> : </w:t>
      </w:r>
      <w:r w:rsidRPr="004B280C">
        <w:rPr>
          <w:rFonts w:ascii="Arial" w:hAnsi="Arial" w:cs="Arial"/>
        </w:rPr>
        <w:t xml:space="preserve">growth rate of </w:t>
      </w:r>
      <w:r w:rsidRPr="004B280C">
        <w:rPr>
          <w:rFonts w:ascii="Arial" w:hAnsi="Arial" w:cs="Arial"/>
          <w:u w:val="single"/>
        </w:rPr>
        <w:t>slow</w:t>
      </w:r>
      <w:r w:rsidRPr="00EC7463">
        <w:rPr>
          <w:rFonts w:ascii="Arial" w:hAnsi="Arial" w:cs="Arial"/>
        </w:rPr>
        <w:t xml:space="preserve"> growing trees  </w:t>
      </w:r>
    </w:p>
    <w:p w14:paraId="32DE0255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proofErr w:type="spellStart"/>
      <w:proofErr w:type="gramStart"/>
      <w:r w:rsidRPr="00EC7463">
        <w:rPr>
          <w:rFonts w:ascii="Arial" w:hAnsi="Arial" w:cs="Arial"/>
        </w:rPr>
        <w:t>ex.fast</w:t>
      </w:r>
      <w:proofErr w:type="spellEnd"/>
      <w:proofErr w:type="gramEnd"/>
      <w:r w:rsidRPr="00EC7463">
        <w:rPr>
          <w:rFonts w:ascii="Arial" w:hAnsi="Arial" w:cs="Arial"/>
        </w:rPr>
        <w:t xml:space="preserve">: </w:t>
      </w:r>
      <w:r w:rsidRPr="004B280C">
        <w:rPr>
          <w:rFonts w:ascii="Arial" w:hAnsi="Arial" w:cs="Arial"/>
        </w:rPr>
        <w:t xml:space="preserve">growth rate of </w:t>
      </w:r>
      <w:r w:rsidRPr="00EC7463">
        <w:rPr>
          <w:rFonts w:ascii="Arial" w:hAnsi="Arial" w:cs="Arial"/>
          <w:u w:val="single"/>
        </w:rPr>
        <w:t>fast</w:t>
      </w:r>
      <w:r w:rsidRPr="00EC7463">
        <w:rPr>
          <w:rFonts w:ascii="Arial" w:hAnsi="Arial" w:cs="Arial"/>
        </w:rPr>
        <w:t xml:space="preserve"> growing trees  </w:t>
      </w:r>
    </w:p>
    <w:p w14:paraId="0A0C355F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proofErr w:type="spellStart"/>
      <w:proofErr w:type="gramStart"/>
      <w:r w:rsidRPr="00EC7463">
        <w:rPr>
          <w:rFonts w:ascii="Arial" w:hAnsi="Arial" w:cs="Arial"/>
        </w:rPr>
        <w:t>logistic.maxsurv</w:t>
      </w:r>
      <w:proofErr w:type="spellEnd"/>
      <w:proofErr w:type="gramEnd"/>
      <w:r w:rsidRPr="00EC7463">
        <w:rPr>
          <w:rFonts w:ascii="Arial" w:hAnsi="Arial" w:cs="Arial"/>
        </w:rPr>
        <w:t xml:space="preserve">: </w:t>
      </w:r>
      <w:r w:rsidRPr="004B280C">
        <w:rPr>
          <w:rFonts w:ascii="Arial" w:hAnsi="Arial" w:cs="Arial"/>
        </w:rPr>
        <w:t xml:space="preserve">the asymptotic survival over most of the </w:t>
      </w:r>
      <w:proofErr w:type="spellStart"/>
      <w:r w:rsidRPr="004B280C">
        <w:rPr>
          <w:rFonts w:ascii="Arial" w:hAnsi="Arial" w:cs="Arial"/>
        </w:rPr>
        <w:t>dbh</w:t>
      </w:r>
      <w:proofErr w:type="spellEnd"/>
      <w:r w:rsidRPr="004B280C">
        <w:rPr>
          <w:rFonts w:ascii="Arial" w:hAnsi="Arial" w:cs="Arial"/>
        </w:rPr>
        <w:t xml:space="preserve"> range</w:t>
      </w:r>
      <w:r w:rsidRPr="00EC7463">
        <w:rPr>
          <w:rFonts w:ascii="Arial" w:hAnsi="Arial" w:cs="Arial"/>
        </w:rPr>
        <w:t xml:space="preserve"> in logistic form</w:t>
      </w:r>
    </w:p>
    <w:p w14:paraId="116843B9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logistic.surv.sm: </w:t>
      </w:r>
      <w:r w:rsidRPr="004B280C">
        <w:rPr>
          <w:rFonts w:ascii="Arial" w:hAnsi="Arial" w:cs="Arial"/>
        </w:rPr>
        <w:t xml:space="preserve">survival at 10 cm </w:t>
      </w:r>
      <w:proofErr w:type="spellStart"/>
      <w:r w:rsidRPr="004B280C">
        <w:rPr>
          <w:rFonts w:ascii="Arial" w:hAnsi="Arial" w:cs="Arial"/>
        </w:rPr>
        <w:t>dbh</w:t>
      </w:r>
      <w:proofErr w:type="spellEnd"/>
      <w:r w:rsidRPr="00EC7463">
        <w:rPr>
          <w:rFonts w:ascii="Arial" w:hAnsi="Arial" w:cs="Arial"/>
        </w:rPr>
        <w:t xml:space="preserve"> in logistic form</w:t>
      </w:r>
    </w:p>
    <w:p w14:paraId="67FACB40" w14:textId="77777777" w:rsidR="00F95AA2" w:rsidRPr="004B280C" w:rsidRDefault="00F95AA2" w:rsidP="00F95AA2">
      <w:pPr>
        <w:spacing w:after="160" w:line="278" w:lineRule="auto"/>
        <w:rPr>
          <w:rFonts w:ascii="Arial" w:hAnsi="Arial" w:cs="Arial"/>
        </w:rPr>
      </w:pPr>
      <w:proofErr w:type="spellStart"/>
      <w:r w:rsidRPr="00EC7463">
        <w:rPr>
          <w:rFonts w:ascii="Arial" w:hAnsi="Arial" w:cs="Arial"/>
        </w:rPr>
        <w:t>maxsize</w:t>
      </w:r>
      <w:proofErr w:type="spellEnd"/>
      <w:r w:rsidRPr="00EC7463">
        <w:rPr>
          <w:rFonts w:ascii="Arial" w:hAnsi="Arial" w:cs="Arial"/>
        </w:rPr>
        <w:t xml:space="preserve">: </w:t>
      </w:r>
      <w:r w:rsidRPr="004B280C">
        <w:rPr>
          <w:rFonts w:ascii="Arial" w:hAnsi="Arial" w:cs="Arial"/>
        </w:rPr>
        <w:t xml:space="preserve">max </w:t>
      </w:r>
      <w:r w:rsidRPr="00EC7463">
        <w:rPr>
          <w:rFonts w:ascii="Arial" w:hAnsi="Arial" w:cs="Arial"/>
        </w:rPr>
        <w:t>tree diameter (DBH)</w:t>
      </w:r>
      <w:r w:rsidRPr="004B280C">
        <w:rPr>
          <w:rFonts w:ascii="Arial" w:hAnsi="Arial" w:cs="Arial"/>
        </w:rPr>
        <w:t xml:space="preserve"> from the data</w:t>
      </w:r>
      <w:r w:rsidRPr="00EC7463">
        <w:rPr>
          <w:rFonts w:ascii="Arial" w:hAnsi="Arial" w:cs="Arial"/>
        </w:rPr>
        <w:t xml:space="preserve"> in logistic form</w:t>
      </w:r>
    </w:p>
    <w:p w14:paraId="1B543530" w14:textId="77777777" w:rsidR="00F95AA2" w:rsidRPr="00EC7463" w:rsidRDefault="00F95AA2" w:rsidP="00F95AA2">
      <w:pPr>
        <w:spacing w:after="160" w:line="278" w:lineRule="auto"/>
        <w:rPr>
          <w:rFonts w:ascii="Arial" w:hAnsi="Arial" w:cs="Arial"/>
        </w:rPr>
      </w:pPr>
    </w:p>
    <w:p w14:paraId="08892B3D" w14:textId="77777777" w:rsidR="00F95AA2" w:rsidRPr="0007454C" w:rsidRDefault="00F95AA2" w:rsidP="00F95AA2">
      <w:pPr>
        <w:spacing w:after="160" w:line="278" w:lineRule="auto"/>
        <w:rPr>
          <w:rFonts w:ascii="Arial" w:hAnsi="Arial" w:cs="Arial"/>
        </w:rPr>
      </w:pPr>
      <w:r w:rsidRPr="004B280C">
        <w:rPr>
          <w:rFonts w:ascii="Arial" w:hAnsi="Arial" w:cs="Arial"/>
        </w:rPr>
        <w:t>For the PCA</w:t>
      </w:r>
      <w:r w:rsidRPr="00EC7463">
        <w:rPr>
          <w:rFonts w:ascii="Arial" w:hAnsi="Arial" w:cs="Arial"/>
        </w:rPr>
        <w:t xml:space="preserve"> in the paper, the authors </w:t>
      </w:r>
      <w:r w:rsidRPr="004B280C">
        <w:rPr>
          <w:rFonts w:ascii="Arial" w:hAnsi="Arial" w:cs="Arial"/>
        </w:rPr>
        <w:t xml:space="preserve">used </w:t>
      </w:r>
      <w:proofErr w:type="spellStart"/>
      <w:proofErr w:type="gramStart"/>
      <w:r w:rsidRPr="004B280C">
        <w:rPr>
          <w:rFonts w:ascii="Arial" w:hAnsi="Arial" w:cs="Arial"/>
        </w:rPr>
        <w:t>ex.slow</w:t>
      </w:r>
      <w:proofErr w:type="spellEnd"/>
      <w:proofErr w:type="gramEnd"/>
      <w:r w:rsidRPr="004B280C">
        <w:rPr>
          <w:rFonts w:ascii="Arial" w:hAnsi="Arial" w:cs="Arial"/>
        </w:rPr>
        <w:t xml:space="preserve">, </w:t>
      </w:r>
      <w:proofErr w:type="spellStart"/>
      <w:r w:rsidRPr="004B280C">
        <w:rPr>
          <w:rFonts w:ascii="Arial" w:hAnsi="Arial" w:cs="Arial"/>
        </w:rPr>
        <w:t>ex.fast</w:t>
      </w:r>
      <w:proofErr w:type="spellEnd"/>
      <w:r w:rsidRPr="00EC7463">
        <w:rPr>
          <w:rFonts w:ascii="Arial" w:hAnsi="Arial" w:cs="Arial"/>
        </w:rPr>
        <w:t>,</w:t>
      </w:r>
      <w:r w:rsidRPr="004B280C">
        <w:rPr>
          <w:rFonts w:ascii="Arial" w:hAnsi="Arial" w:cs="Arial"/>
        </w:rPr>
        <w:t xml:space="preserve"> </w:t>
      </w:r>
      <w:proofErr w:type="spellStart"/>
      <w:r w:rsidRPr="004B280C">
        <w:rPr>
          <w:rFonts w:ascii="Arial" w:hAnsi="Arial" w:cs="Arial"/>
        </w:rPr>
        <w:t>maxsize</w:t>
      </w:r>
      <w:proofErr w:type="spellEnd"/>
      <w:r w:rsidRPr="004B280C">
        <w:rPr>
          <w:rFonts w:ascii="Arial" w:hAnsi="Arial" w:cs="Arial"/>
        </w:rPr>
        <w:t xml:space="preserve">, </w:t>
      </w:r>
      <w:proofErr w:type="spellStart"/>
      <w:r w:rsidRPr="004B280C">
        <w:rPr>
          <w:rFonts w:ascii="Arial" w:hAnsi="Arial" w:cs="Arial"/>
        </w:rPr>
        <w:t>logistic.maxsurv</w:t>
      </w:r>
      <w:proofErr w:type="spellEnd"/>
      <w:r w:rsidRPr="004B280C">
        <w:rPr>
          <w:rFonts w:ascii="Arial" w:hAnsi="Arial" w:cs="Arial"/>
        </w:rPr>
        <w:t>, and logistic.surv.sm.</w:t>
      </w:r>
    </w:p>
    <w:p w14:paraId="114C6A80" w14:textId="77777777" w:rsidR="00F95AA2" w:rsidRPr="00EC7463" w:rsidRDefault="00F95AA2" w:rsidP="00F95AA2">
      <w:pPr>
        <w:rPr>
          <w:rFonts w:ascii="Arial" w:hAnsi="Arial" w:cs="Arial"/>
          <w:u w:val="single"/>
        </w:rPr>
      </w:pPr>
    </w:p>
    <w:p w14:paraId="3B9E71D7" w14:textId="77777777" w:rsidR="00F95AA2" w:rsidRPr="00F95AA2" w:rsidRDefault="00F95AA2" w:rsidP="00F95AA2">
      <w:pPr>
        <w:rPr>
          <w:rFonts w:ascii="Arial" w:hAnsi="Arial" w:cs="Arial"/>
          <w:u w:val="single"/>
        </w:rPr>
      </w:pPr>
      <w:r w:rsidRPr="00F95AA2">
        <w:rPr>
          <w:rFonts w:ascii="Arial" w:hAnsi="Arial" w:cs="Arial"/>
          <w:u w:val="single"/>
        </w:rPr>
        <w:t>site_df.RData</w:t>
      </w:r>
    </w:p>
    <w:p w14:paraId="48820791" w14:textId="77777777" w:rsidR="00F95AA2" w:rsidRPr="00EC7463" w:rsidRDefault="00F95AA2" w:rsidP="00F95AA2">
      <w:pPr>
        <w:rPr>
          <w:rFonts w:ascii="Arial" w:hAnsi="Arial" w:cs="Arial"/>
        </w:rPr>
      </w:pPr>
      <w:r w:rsidRPr="00EC7463">
        <w:rPr>
          <w:rFonts w:ascii="Arial" w:hAnsi="Arial" w:cs="Arial"/>
        </w:rPr>
        <w:t>Site-level census, geographical and climatic data.</w:t>
      </w:r>
    </w:p>
    <w:p w14:paraId="3F6923F0" w14:textId="77777777" w:rsidR="00F95AA2" w:rsidRPr="00EC7463" w:rsidRDefault="00F95AA2" w:rsidP="00F95AA2">
      <w:pPr>
        <w:rPr>
          <w:rFonts w:ascii="Arial" w:hAnsi="Arial" w:cs="Arial"/>
        </w:rPr>
      </w:pPr>
    </w:p>
    <w:p w14:paraId="3F9474FF" w14:textId="77777777" w:rsidR="00F95AA2" w:rsidRPr="00EC7463" w:rsidRDefault="00F95AA2" w:rsidP="00F95AA2">
      <w:pPr>
        <w:rPr>
          <w:rFonts w:ascii="Arial" w:hAnsi="Arial" w:cs="Arial"/>
          <w:u w:val="single"/>
        </w:rPr>
      </w:pPr>
      <w:proofErr w:type="spellStart"/>
      <w:r w:rsidRPr="00EC7463">
        <w:rPr>
          <w:rFonts w:ascii="Arial" w:hAnsi="Arial" w:cs="Arial"/>
          <w:u w:val="single"/>
        </w:rPr>
        <w:t>site_sp_</w:t>
      </w:r>
      <w:proofErr w:type="gramStart"/>
      <w:r w:rsidRPr="00EC7463">
        <w:rPr>
          <w:rFonts w:ascii="Arial" w:hAnsi="Arial" w:cs="Arial"/>
          <w:u w:val="single"/>
        </w:rPr>
        <w:t>rch.RData</w:t>
      </w:r>
      <w:proofErr w:type="spellEnd"/>
      <w:proofErr w:type="gramEnd"/>
    </w:p>
    <w:p w14:paraId="3D592710" w14:textId="77777777" w:rsidR="00F95AA2" w:rsidRPr="004B280C" w:rsidRDefault="00F95AA2" w:rsidP="00F95AA2">
      <w:pPr>
        <w:spacing w:after="160" w:line="278" w:lineRule="auto"/>
        <w:rPr>
          <w:rFonts w:ascii="Arial" w:hAnsi="Arial" w:cs="Arial"/>
        </w:rPr>
      </w:pPr>
      <w:r w:rsidRPr="00EC7463">
        <w:rPr>
          <w:rFonts w:ascii="Arial" w:hAnsi="Arial" w:cs="Arial"/>
        </w:rPr>
        <w:lastRenderedPageBreak/>
        <w:t>B</w:t>
      </w:r>
      <w:r w:rsidRPr="004B280C">
        <w:rPr>
          <w:rFonts w:ascii="Arial" w:hAnsi="Arial" w:cs="Arial"/>
        </w:rPr>
        <w:t xml:space="preserve">ootstrapped species richness for 19 sites (minus </w:t>
      </w:r>
      <w:proofErr w:type="spellStart"/>
      <w:r w:rsidRPr="004B280C">
        <w:rPr>
          <w:rFonts w:ascii="Arial" w:hAnsi="Arial" w:cs="Arial"/>
        </w:rPr>
        <w:t>Mudumalai</w:t>
      </w:r>
      <w:proofErr w:type="spellEnd"/>
      <w:r w:rsidRPr="004B280C">
        <w:rPr>
          <w:rFonts w:ascii="Arial" w:hAnsi="Arial" w:cs="Arial"/>
        </w:rPr>
        <w:t xml:space="preserve">) in the same order as the </w:t>
      </w:r>
      <w:proofErr w:type="spellStart"/>
      <w:r w:rsidRPr="004B280C">
        <w:rPr>
          <w:rFonts w:ascii="Arial" w:hAnsi="Arial" w:cs="Arial"/>
        </w:rPr>
        <w:t>site.df</w:t>
      </w:r>
      <w:proofErr w:type="spellEnd"/>
      <w:r w:rsidRPr="004B280C">
        <w:rPr>
          <w:rFonts w:ascii="Arial" w:hAnsi="Arial" w:cs="Arial"/>
        </w:rPr>
        <w:t xml:space="preserve"> </w:t>
      </w:r>
      <w:proofErr w:type="spellStart"/>
      <w:r w:rsidRPr="004B280C">
        <w:rPr>
          <w:rFonts w:ascii="Arial" w:hAnsi="Arial" w:cs="Arial"/>
        </w:rPr>
        <w:t>dataframe</w:t>
      </w:r>
      <w:proofErr w:type="spellEnd"/>
      <w:r w:rsidRPr="004B280C">
        <w:rPr>
          <w:rFonts w:ascii="Arial" w:hAnsi="Arial" w:cs="Arial"/>
        </w:rPr>
        <w:t>. </w:t>
      </w:r>
    </w:p>
    <w:p w14:paraId="0201A646" w14:textId="77777777" w:rsidR="00BB6896" w:rsidRDefault="00BB6896"/>
    <w:sectPr w:rsidR="00BB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A2"/>
    <w:rsid w:val="00202C6E"/>
    <w:rsid w:val="00BB6896"/>
    <w:rsid w:val="00C45021"/>
    <w:rsid w:val="00EC4803"/>
    <w:rsid w:val="00ED35E2"/>
    <w:rsid w:val="00F9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BE063"/>
  <w15:chartTrackingRefBased/>
  <w15:docId w15:val="{EDD1A2EF-D77D-C842-8D34-7F8C9B72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A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AA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AA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A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A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A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A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A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A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A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A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A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A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A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A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A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A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5A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95AA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A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95AA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5AA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95AA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5AA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95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A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5A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AA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86-022-04737-7/figures/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Zuleta</dc:creator>
  <cp:keywords/>
  <dc:description/>
  <cp:lastModifiedBy>Daniel Zuleta</cp:lastModifiedBy>
  <cp:revision>1</cp:revision>
  <dcterms:created xsi:type="dcterms:W3CDTF">2024-10-09T09:55:00Z</dcterms:created>
  <dcterms:modified xsi:type="dcterms:W3CDTF">2024-10-09T09:55:00Z</dcterms:modified>
</cp:coreProperties>
</file>