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r w:rsidRPr="00CB65DA">
              <w:t>Dr.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9D498B8" w14:textId="27A64F5B" w:rsidR="0020104A" w:rsidRPr="00774A0D" w:rsidRDefault="00973DD4">
          <w:pPr>
            <w:pStyle w:val="TOC1"/>
            <w:tabs>
              <w:tab w:val="right" w:leader="dot" w:pos="9016"/>
            </w:tabs>
            <w:rPr>
              <w:rFonts w:ascii="Arial" w:eastAsiaTheme="minorEastAsia" w:hAnsi="Arial" w:cs="Arial"/>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1405132" w:history="1">
            <w:r w:rsidR="0020104A" w:rsidRPr="00774A0D">
              <w:rPr>
                <w:rStyle w:val="Hyperlink"/>
                <w:rFonts w:ascii="Arial" w:hAnsi="Arial" w:cs="Arial"/>
                <w:b/>
                <w:bCs/>
                <w:noProof/>
              </w:rPr>
              <w:t>Introduction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5BF386DC" w14:textId="79665394" w:rsidR="0020104A" w:rsidRPr="00774A0D" w:rsidRDefault="00516575">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3" w:history="1">
            <w:r w:rsidR="0020104A" w:rsidRPr="00774A0D">
              <w:rPr>
                <w:rStyle w:val="Hyperlink"/>
                <w:rFonts w:ascii="Arial" w:hAnsi="Arial" w:cs="Arial"/>
                <w:noProof/>
              </w:rPr>
              <w:t>Motivation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288992B8" w14:textId="4D6CD829" w:rsidR="0020104A" w:rsidRPr="00774A0D" w:rsidRDefault="00516575">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4" w:history="1">
            <w:r w:rsidR="0020104A" w:rsidRPr="00774A0D">
              <w:rPr>
                <w:rStyle w:val="Hyperlink"/>
                <w:rFonts w:ascii="Arial" w:hAnsi="Arial" w:cs="Arial"/>
                <w:noProof/>
              </w:rPr>
              <w:t>Problem Domain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CE6CCB" w14:textId="4A29101D" w:rsidR="0020104A" w:rsidRPr="00774A0D" w:rsidRDefault="00516575">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5" w:history="1">
            <w:r w:rsidR="0020104A" w:rsidRPr="00774A0D">
              <w:rPr>
                <w:rStyle w:val="Hyperlink"/>
                <w:rFonts w:ascii="Arial" w:hAnsi="Arial" w:cs="Arial"/>
                <w:noProof/>
              </w:rPr>
              <w:t>Objectives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_Toc161405135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A307A51" w14:textId="7B08D955" w:rsidR="0020104A" w:rsidRPr="00774A0D" w:rsidRDefault="00516575">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6" w:history="1">
            <w:r w:rsidR="0020104A" w:rsidRPr="00774A0D">
              <w:rPr>
                <w:rStyle w:val="Hyperlink"/>
                <w:rFonts w:ascii="Arial" w:hAnsi="Arial" w:cs="Arial"/>
                <w:noProof/>
              </w:rPr>
              <w:t>Why this dataset?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_Toc161405136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155B5" w14:textId="5F339258" w:rsidR="0020104A" w:rsidRPr="00774A0D" w:rsidRDefault="00516575">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7" w:history="1">
            <w:r w:rsidR="0020104A" w:rsidRPr="00774A0D">
              <w:rPr>
                <w:rStyle w:val="Hyperlink"/>
                <w:rFonts w:ascii="Arial" w:hAnsi="Arial" w:cs="Arial"/>
                <w:noProof/>
              </w:rPr>
              <w:t>Word count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_Toc161405137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39D1EA41" w14:textId="6F7DEB01" w:rsidR="0020104A" w:rsidRPr="00774A0D" w:rsidRDefault="00516575">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38" w:history="1">
            <w:r w:rsidR="0020104A" w:rsidRPr="00774A0D">
              <w:rPr>
                <w:rStyle w:val="Hyperlink"/>
                <w:rFonts w:ascii="Arial" w:hAnsi="Arial" w:cs="Arial"/>
                <w:b/>
                <w:bCs/>
                <w:noProof/>
              </w:rPr>
              <w:t>Clustering Algorithms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_Toc161405138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5148FDD" w14:textId="7918B75F" w:rsidR="0020104A" w:rsidRPr="00774A0D" w:rsidRDefault="00516575">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9" w:history="1">
            <w:r w:rsidR="0020104A" w:rsidRPr="00774A0D">
              <w:rPr>
                <w:rStyle w:val="Hyperlink"/>
                <w:rFonts w:ascii="Arial" w:hAnsi="Arial" w:cs="Arial"/>
                <w:noProof/>
              </w:rPr>
              <w:t>Ttttt1</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_Toc161405139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FD95E" w14:textId="4EACFC03" w:rsidR="0020104A" w:rsidRPr="00774A0D" w:rsidRDefault="00516575">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40" w:history="1">
            <w:r w:rsidR="0020104A" w:rsidRPr="00774A0D">
              <w:rPr>
                <w:rStyle w:val="Hyperlink"/>
                <w:rFonts w:ascii="Arial" w:hAnsi="Arial" w:cs="Arial"/>
                <w:noProof/>
              </w:rPr>
              <w:t>Tyyy2</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_Toc161405140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66A2BAF2" w14:textId="05CD1CB0" w:rsidR="0020104A" w:rsidRPr="00774A0D" w:rsidRDefault="00516575">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1" w:history="1">
            <w:r w:rsidR="0020104A" w:rsidRPr="00774A0D">
              <w:rPr>
                <w:rStyle w:val="Hyperlink"/>
                <w:rFonts w:ascii="Arial" w:hAnsi="Arial" w:cs="Arial"/>
                <w:b/>
                <w:bCs/>
                <w:noProof/>
              </w:rPr>
              <w:t>ARIMA model – Time Series Data</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_Toc161405141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0BEAC0EA" w14:textId="2AE456BF" w:rsidR="0020104A" w:rsidRPr="00774A0D" w:rsidRDefault="00516575">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2" w:history="1">
            <w:r w:rsidR="0020104A" w:rsidRPr="00774A0D">
              <w:rPr>
                <w:rStyle w:val="Hyperlink"/>
                <w:rFonts w:ascii="Arial" w:hAnsi="Arial" w:cs="Arial"/>
                <w:b/>
                <w:bCs/>
                <w:noProof/>
              </w:rPr>
              <w:t>Assessment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47F7932B" w14:textId="07C20A92" w:rsidR="0020104A" w:rsidRPr="00774A0D" w:rsidRDefault="00516575">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3" w:history="1">
            <w:r w:rsidR="0020104A" w:rsidRPr="00774A0D">
              <w:rPr>
                <w:rStyle w:val="Hyperlink"/>
                <w:rFonts w:ascii="Arial" w:hAnsi="Arial" w:cs="Arial"/>
                <w:b/>
                <w:bCs/>
                <w:noProof/>
              </w:rPr>
              <w:t>Conclusion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7FD5C15E" w14:textId="22A1853F" w:rsidR="0020104A" w:rsidRPr="00774A0D" w:rsidRDefault="00516575">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4" w:history="1">
            <w:r w:rsidR="0020104A" w:rsidRPr="00774A0D">
              <w:rPr>
                <w:rStyle w:val="Hyperlink"/>
                <w:rFonts w:ascii="Arial" w:hAnsi="Arial" w:cs="Arial"/>
                <w:b/>
                <w:bCs/>
                <w:noProof/>
              </w:rPr>
              <w:t>References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33649600" w14:textId="466830CE"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140513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1405133"/>
      <w:r w:rsidRPr="00C93B30">
        <w:rPr>
          <w:rFonts w:ascii="Arial" w:hAnsi="Arial" w:cs="Arial"/>
          <w:sz w:val="28"/>
          <w:szCs w:val="28"/>
        </w:rPr>
        <w:t>Motivation</w:t>
      </w:r>
      <w:bookmarkEnd w:id="2"/>
    </w:p>
    <w:p w14:paraId="662E63E5" w14:textId="5B2364CE" w:rsidR="00150593" w:rsidRPr="00774A0D"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77A749D5" w14:textId="7BB999F4" w:rsidR="00973DD4" w:rsidRPr="00C93B30" w:rsidRDefault="00C14D5A" w:rsidP="00F015E0">
      <w:pPr>
        <w:pStyle w:val="Heading2"/>
        <w:spacing w:line="360" w:lineRule="auto"/>
        <w:rPr>
          <w:rFonts w:ascii="Arial" w:hAnsi="Arial" w:cs="Arial"/>
          <w:sz w:val="28"/>
          <w:szCs w:val="28"/>
        </w:rPr>
      </w:pPr>
      <w:bookmarkStart w:id="3" w:name="_Toc161405134"/>
      <w:r w:rsidRPr="00C93B30">
        <w:rPr>
          <w:rFonts w:ascii="Arial" w:hAnsi="Arial" w:cs="Arial"/>
          <w:sz w:val="28"/>
          <w:szCs w:val="28"/>
        </w:rPr>
        <w:t>Problem Domain</w:t>
      </w:r>
      <w:bookmarkEnd w:id="3"/>
    </w:p>
    <w:p w14:paraId="26BF1175" w14:textId="77777777" w:rsidR="00C14D5A" w:rsidRPr="00774A0D" w:rsidRDefault="00C14D5A" w:rsidP="00F015E0">
      <w:pPr>
        <w:spacing w:line="360" w:lineRule="auto"/>
        <w:rPr>
          <w:rFonts w:ascii="Arial" w:hAnsi="Arial" w:cs="Arial"/>
          <w:lang w:val="en-GB"/>
        </w:rPr>
      </w:pPr>
    </w:p>
    <w:p w14:paraId="7EE569B7" w14:textId="03F4733A" w:rsidR="00C14D5A" w:rsidRPr="00C93B30" w:rsidRDefault="00C14D5A" w:rsidP="00F015E0">
      <w:pPr>
        <w:pStyle w:val="Heading2"/>
        <w:spacing w:line="360" w:lineRule="auto"/>
        <w:rPr>
          <w:rFonts w:ascii="Arial" w:hAnsi="Arial" w:cs="Arial"/>
          <w:sz w:val="28"/>
          <w:szCs w:val="28"/>
        </w:rPr>
      </w:pPr>
      <w:bookmarkStart w:id="4" w:name="_Toc161405135"/>
      <w:r w:rsidRPr="00C93B30">
        <w:rPr>
          <w:rFonts w:ascii="Arial" w:hAnsi="Arial" w:cs="Arial"/>
          <w:sz w:val="28"/>
          <w:szCs w:val="28"/>
        </w:rPr>
        <w:t>Objectives</w:t>
      </w:r>
      <w:bookmarkEnd w:id="4"/>
    </w:p>
    <w:p w14:paraId="2EECF259" w14:textId="77777777" w:rsidR="00C14D5A" w:rsidRPr="00774A0D" w:rsidRDefault="00C14D5A" w:rsidP="00F015E0">
      <w:pPr>
        <w:spacing w:line="360" w:lineRule="auto"/>
        <w:rPr>
          <w:rFonts w:ascii="Arial" w:hAnsi="Arial" w:cs="Arial"/>
          <w:lang w:val="en-GB"/>
        </w:rPr>
      </w:pPr>
    </w:p>
    <w:p w14:paraId="013538C8" w14:textId="19DE48A6" w:rsidR="00C14D5A" w:rsidRPr="00C93B30" w:rsidRDefault="00C14D5A" w:rsidP="00F015E0">
      <w:pPr>
        <w:pStyle w:val="Heading2"/>
        <w:spacing w:line="360" w:lineRule="auto"/>
        <w:rPr>
          <w:rFonts w:ascii="Arial" w:hAnsi="Arial" w:cs="Arial"/>
          <w:sz w:val="28"/>
          <w:szCs w:val="28"/>
        </w:rPr>
      </w:pPr>
      <w:bookmarkStart w:id="5" w:name="_Toc161405136"/>
      <w:r w:rsidRPr="00C93B30">
        <w:rPr>
          <w:rFonts w:ascii="Arial" w:hAnsi="Arial" w:cs="Arial"/>
          <w:sz w:val="28"/>
          <w:szCs w:val="28"/>
        </w:rPr>
        <w:t>Why this dataset?</w:t>
      </w:r>
      <w:bookmarkEnd w:id="5"/>
    </w:p>
    <w:p w14:paraId="497FE1E6" w14:textId="0B3D5615" w:rsidR="00C14D5A" w:rsidRPr="00774A0D" w:rsidRDefault="000B080B" w:rsidP="00F015E0">
      <w:pPr>
        <w:spacing w:line="360" w:lineRule="auto"/>
        <w:rPr>
          <w:rFonts w:ascii="Arial" w:hAnsi="Arial" w:cs="Arial"/>
          <w:lang w:val="en-GB"/>
        </w:rPr>
      </w:pPr>
      <w:r w:rsidRPr="000B080B">
        <w:rPr>
          <w:rFonts w:ascii="Arial" w:hAnsi="Arial" w:cs="Arial"/>
          <w:lang w:val="en-GB"/>
        </w:rPr>
        <w:t>https://www.kaggle.com/datasets/elvinrustam/coursera-dataset</w:t>
      </w:r>
    </w:p>
    <w:p w14:paraId="3A587475" w14:textId="77777777" w:rsidR="00973DD4" w:rsidRPr="00774A0D" w:rsidRDefault="00973DD4"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6" w:name="_Toc161405137"/>
      <w:r w:rsidRPr="00C93B30">
        <w:rPr>
          <w:rFonts w:ascii="Arial" w:hAnsi="Arial" w:cs="Arial"/>
          <w:sz w:val="28"/>
          <w:szCs w:val="28"/>
        </w:rPr>
        <w:t>Word count</w:t>
      </w:r>
      <w:bookmarkEnd w:id="6"/>
    </w:p>
    <w:p w14:paraId="7DAA8B4F" w14:textId="77777777" w:rsidR="00973DD4" w:rsidRPr="00774A0D" w:rsidRDefault="00973DD4" w:rsidP="00F015E0">
      <w:pPr>
        <w:spacing w:line="360" w:lineRule="auto"/>
        <w:rPr>
          <w:rFonts w:ascii="Arial" w:hAnsi="Arial" w:cs="Arial"/>
          <w:lang w:val="en-GB"/>
        </w:rPr>
      </w:pPr>
    </w:p>
    <w:p w14:paraId="683AD639" w14:textId="71C5C111" w:rsidR="00973DD4" w:rsidRPr="00C93B30" w:rsidRDefault="001E03DF" w:rsidP="00F015E0">
      <w:pPr>
        <w:pStyle w:val="Heading1"/>
        <w:spacing w:line="360" w:lineRule="auto"/>
        <w:rPr>
          <w:rFonts w:ascii="Arial" w:hAnsi="Arial" w:cs="Arial"/>
          <w:b/>
          <w:bCs/>
          <w:sz w:val="32"/>
          <w:szCs w:val="32"/>
        </w:rPr>
      </w:pPr>
      <w:bookmarkStart w:id="7" w:name="_Toc161405138"/>
      <w:r w:rsidRPr="00C93B30">
        <w:rPr>
          <w:rFonts w:ascii="Arial" w:hAnsi="Arial" w:cs="Arial"/>
          <w:b/>
          <w:bCs/>
          <w:sz w:val="32"/>
          <w:szCs w:val="32"/>
        </w:rPr>
        <w:t>Clustering Algorithms</w:t>
      </w:r>
      <w:bookmarkEnd w:id="7"/>
    </w:p>
    <w:p w14:paraId="0F6215F9" w14:textId="77777777" w:rsidR="001E03DF" w:rsidRPr="00774A0D" w:rsidRDefault="001E03DF" w:rsidP="00F015E0">
      <w:pPr>
        <w:spacing w:line="360" w:lineRule="auto"/>
        <w:rPr>
          <w:rFonts w:ascii="Arial" w:hAnsi="Arial" w:cs="Arial"/>
          <w:lang w:val="en-GB"/>
        </w:rPr>
      </w:pPr>
    </w:p>
    <w:p w14:paraId="557099EA" w14:textId="1B275B32" w:rsidR="000E4E82" w:rsidRPr="00774A0D" w:rsidRDefault="000E4E82" w:rsidP="00F015E0">
      <w:pPr>
        <w:spacing w:line="360" w:lineRule="auto"/>
        <w:rPr>
          <w:rFonts w:ascii="Arial" w:hAnsi="Arial" w:cs="Arial"/>
          <w:lang w:val="en-GB"/>
        </w:rPr>
      </w:pPr>
      <w:r w:rsidRPr="00774A0D">
        <w:rPr>
          <w:rFonts w:ascii="Arial" w:hAnsi="Arial" w:cs="Arial"/>
        </w:rPr>
        <w:lastRenderedPageBreak/>
        <w:t>Which clustering algorithms would you consider for segmentation, and why? Explain the differences between silhouette score and Davies-Bouldin index in the context of clustering. Compare the results obtained from any two clustering algorithms from the chosen dataset.</w:t>
      </w:r>
    </w:p>
    <w:p w14:paraId="77A862BD" w14:textId="77777777" w:rsidR="000E4E82" w:rsidRPr="00774A0D" w:rsidRDefault="000E4E82" w:rsidP="00F015E0">
      <w:pPr>
        <w:spacing w:line="360" w:lineRule="auto"/>
        <w:rPr>
          <w:rFonts w:ascii="Arial" w:hAnsi="Arial" w:cs="Arial"/>
          <w:lang w:val="en-GB"/>
        </w:rPr>
      </w:pPr>
    </w:p>
    <w:p w14:paraId="13CC79EB" w14:textId="534E4A71" w:rsidR="001E03DF" w:rsidRPr="00C93B30" w:rsidRDefault="001E03DF" w:rsidP="00F015E0">
      <w:pPr>
        <w:pStyle w:val="Heading2"/>
        <w:spacing w:line="360" w:lineRule="auto"/>
        <w:rPr>
          <w:rFonts w:ascii="Arial" w:hAnsi="Arial" w:cs="Arial"/>
          <w:sz w:val="28"/>
          <w:szCs w:val="28"/>
        </w:rPr>
      </w:pPr>
      <w:bookmarkStart w:id="8" w:name="_Toc161405139"/>
      <w:r w:rsidRPr="00C93B30">
        <w:rPr>
          <w:rFonts w:ascii="Arial" w:hAnsi="Arial" w:cs="Arial"/>
          <w:sz w:val="28"/>
          <w:szCs w:val="28"/>
        </w:rPr>
        <w:t>Ttttt1</w:t>
      </w:r>
      <w:bookmarkEnd w:id="8"/>
    </w:p>
    <w:p w14:paraId="4ACDC9E1" w14:textId="77777777" w:rsidR="001E03DF" w:rsidRPr="00774A0D" w:rsidRDefault="001E03DF" w:rsidP="00F015E0">
      <w:pPr>
        <w:spacing w:line="360" w:lineRule="auto"/>
        <w:rPr>
          <w:rFonts w:ascii="Arial" w:hAnsi="Arial" w:cs="Arial"/>
          <w:lang w:val="en-GB"/>
        </w:rPr>
      </w:pPr>
    </w:p>
    <w:p w14:paraId="071ADFF4" w14:textId="57A0CEF0" w:rsidR="001E03DF" w:rsidRPr="00C93B30" w:rsidRDefault="001E03DF" w:rsidP="00F015E0">
      <w:pPr>
        <w:pStyle w:val="Heading2"/>
        <w:spacing w:line="360" w:lineRule="auto"/>
        <w:rPr>
          <w:rFonts w:ascii="Arial" w:hAnsi="Arial" w:cs="Arial"/>
          <w:sz w:val="28"/>
          <w:szCs w:val="28"/>
        </w:rPr>
      </w:pPr>
      <w:bookmarkStart w:id="9" w:name="_Toc161405140"/>
      <w:r w:rsidRPr="00C93B30">
        <w:rPr>
          <w:rFonts w:ascii="Arial" w:hAnsi="Arial" w:cs="Arial"/>
          <w:sz w:val="28"/>
          <w:szCs w:val="28"/>
        </w:rPr>
        <w:t>Tyyy2</w:t>
      </w:r>
      <w:bookmarkEnd w:id="9"/>
    </w:p>
    <w:p w14:paraId="665AE758" w14:textId="77777777" w:rsidR="00065123" w:rsidRPr="00774A0D" w:rsidRDefault="00065123" w:rsidP="00F015E0">
      <w:pPr>
        <w:spacing w:line="360" w:lineRule="auto"/>
        <w:rPr>
          <w:rFonts w:ascii="Arial" w:hAnsi="Arial" w:cs="Arial"/>
          <w:lang w:val="en-GB"/>
        </w:rPr>
      </w:pPr>
    </w:p>
    <w:p w14:paraId="26EF57B2" w14:textId="77777777" w:rsidR="00065123" w:rsidRPr="00774A0D" w:rsidRDefault="00065123" w:rsidP="00F015E0">
      <w:pPr>
        <w:spacing w:line="360" w:lineRule="auto"/>
        <w:rPr>
          <w:rFonts w:ascii="Arial" w:hAnsi="Arial" w:cs="Arial"/>
          <w:lang w:val="en-GB"/>
        </w:rPr>
      </w:pPr>
    </w:p>
    <w:p w14:paraId="0332F2CD" w14:textId="45CE6E4D" w:rsidR="00065123" w:rsidRPr="00C93B30" w:rsidRDefault="00065123" w:rsidP="00F015E0">
      <w:pPr>
        <w:pStyle w:val="Heading1"/>
        <w:spacing w:line="360" w:lineRule="auto"/>
        <w:rPr>
          <w:rFonts w:ascii="Arial" w:hAnsi="Arial" w:cs="Arial"/>
          <w:b/>
          <w:bCs/>
          <w:sz w:val="32"/>
          <w:szCs w:val="32"/>
        </w:rPr>
      </w:pPr>
      <w:bookmarkStart w:id="10" w:name="_Toc161405141"/>
      <w:r w:rsidRPr="00C93B30">
        <w:rPr>
          <w:rFonts w:ascii="Arial" w:hAnsi="Arial" w:cs="Arial"/>
          <w:b/>
          <w:bCs/>
          <w:sz w:val="32"/>
          <w:szCs w:val="32"/>
        </w:rPr>
        <w:t>ARIMA model – Time Series Data</w:t>
      </w:r>
      <w:bookmarkEnd w:id="10"/>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Pr="00774A0D" w:rsidRDefault="00614B75" w:rsidP="00F015E0">
      <w:pPr>
        <w:spacing w:line="360" w:lineRule="auto"/>
        <w:rPr>
          <w:rFonts w:ascii="Arial" w:hAnsi="Arial" w:cs="Arial"/>
        </w:rPr>
      </w:pPr>
    </w:p>
    <w:p w14:paraId="73E51C17" w14:textId="576A37CF" w:rsidR="00614B75" w:rsidRPr="00C93B30" w:rsidRDefault="00614B75" w:rsidP="00F015E0">
      <w:pPr>
        <w:pStyle w:val="Heading1"/>
        <w:spacing w:line="360" w:lineRule="auto"/>
        <w:rPr>
          <w:rFonts w:ascii="Arial" w:hAnsi="Arial" w:cs="Arial"/>
          <w:b/>
          <w:bCs/>
          <w:sz w:val="32"/>
          <w:szCs w:val="32"/>
        </w:rPr>
      </w:pPr>
      <w:bookmarkStart w:id="11" w:name="_Toc161405142"/>
      <w:r w:rsidRPr="00C93B30">
        <w:rPr>
          <w:rFonts w:ascii="Arial" w:hAnsi="Arial" w:cs="Arial"/>
          <w:b/>
          <w:bCs/>
          <w:sz w:val="32"/>
          <w:szCs w:val="32"/>
        </w:rPr>
        <w:t>Assessment</w:t>
      </w:r>
      <w:bookmarkEnd w:id="11"/>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2" w:name="_Toc161405143"/>
      <w:r w:rsidRPr="00C93B30">
        <w:rPr>
          <w:rFonts w:ascii="Arial" w:hAnsi="Arial" w:cs="Arial"/>
          <w:b/>
          <w:bCs/>
          <w:sz w:val="32"/>
          <w:szCs w:val="32"/>
        </w:rPr>
        <w:t>Conclusion</w:t>
      </w:r>
      <w:bookmarkEnd w:id="12"/>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3" w:name="_Toc161405144"/>
      <w:r w:rsidRPr="00C93B30">
        <w:rPr>
          <w:rFonts w:ascii="Arial" w:hAnsi="Arial" w:cs="Arial"/>
          <w:b/>
          <w:bCs/>
          <w:sz w:val="32"/>
          <w:szCs w:val="32"/>
        </w:rPr>
        <w:t>References</w:t>
      </w:r>
      <w:bookmarkEnd w:id="13"/>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w:t>
      </w:r>
      <w:r w:rsidRPr="00431FF5">
        <w:rPr>
          <w:rFonts w:ascii="Arial" w:hAnsi="Arial" w:cs="Arial"/>
        </w:rPr>
        <w:lastRenderedPageBreak/>
        <w:t xml:space="preserve">Barriers. </w:t>
      </w:r>
      <w:r w:rsidRPr="00431FF5">
        <w:rPr>
          <w:rFonts w:ascii="Arial" w:hAnsi="Arial" w:cs="Arial"/>
          <w:i/>
          <w:iCs/>
        </w:rPr>
        <w:t>International Journal of Emerging Technologies in Learning (ijet)</w:t>
      </w:r>
      <w:r w:rsidRPr="00431FF5">
        <w:rPr>
          <w:rFonts w:ascii="Arial" w:hAnsi="Arial" w:cs="Arial"/>
        </w:rPr>
        <w:t>, 18(14), pp.4–23. doi:https://doi.org/10.3991/ijet.v18i14.39903.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r w:rsidRPr="00431FF5">
        <w:rPr>
          <w:rFonts w:ascii="Arial" w:hAnsi="Arial" w:cs="Arial"/>
          <w:i/>
          <w:iCs/>
        </w:rPr>
        <w:t>EduComm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Zotova, M., Likhouzova, T., Shegai, L. and Korobeynikova, E. (2021). The Use of MOOCS in Online Engineering Education. International Journal of Engineering Pedagogy (iJEP), [online] 11(3), p.157. doi:https://doi.org/10.3991/ijep.v11i3.20411.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1D946603" w14:textId="1A447B09" w:rsidR="00973DD4" w:rsidRPr="00A43A9B"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5"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sectPr w:rsidR="00973DD4"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4141C"/>
    <w:rsid w:val="00054144"/>
    <w:rsid w:val="000638A9"/>
    <w:rsid w:val="00065123"/>
    <w:rsid w:val="000B080B"/>
    <w:rsid w:val="000C5CB4"/>
    <w:rsid w:val="000C5DC5"/>
    <w:rsid w:val="000E4E82"/>
    <w:rsid w:val="000E5426"/>
    <w:rsid w:val="001213C0"/>
    <w:rsid w:val="00150593"/>
    <w:rsid w:val="001631A0"/>
    <w:rsid w:val="001B4D70"/>
    <w:rsid w:val="001E03DF"/>
    <w:rsid w:val="001E68FF"/>
    <w:rsid w:val="001E73A4"/>
    <w:rsid w:val="0020104A"/>
    <w:rsid w:val="00256B3A"/>
    <w:rsid w:val="00264655"/>
    <w:rsid w:val="00273247"/>
    <w:rsid w:val="00276D0F"/>
    <w:rsid w:val="002C417F"/>
    <w:rsid w:val="002C4616"/>
    <w:rsid w:val="002E2661"/>
    <w:rsid w:val="0032595D"/>
    <w:rsid w:val="00357FD4"/>
    <w:rsid w:val="00371DEF"/>
    <w:rsid w:val="0037663D"/>
    <w:rsid w:val="0038357D"/>
    <w:rsid w:val="00396931"/>
    <w:rsid w:val="003D4068"/>
    <w:rsid w:val="003E13CE"/>
    <w:rsid w:val="00431FF5"/>
    <w:rsid w:val="00447005"/>
    <w:rsid w:val="00495DDC"/>
    <w:rsid w:val="004C603D"/>
    <w:rsid w:val="00516575"/>
    <w:rsid w:val="00561184"/>
    <w:rsid w:val="005675B1"/>
    <w:rsid w:val="005A6B05"/>
    <w:rsid w:val="005D7CC1"/>
    <w:rsid w:val="005E560B"/>
    <w:rsid w:val="005E6052"/>
    <w:rsid w:val="00614B75"/>
    <w:rsid w:val="00636E90"/>
    <w:rsid w:val="006649B1"/>
    <w:rsid w:val="00691479"/>
    <w:rsid w:val="006D03B3"/>
    <w:rsid w:val="006F0304"/>
    <w:rsid w:val="00736886"/>
    <w:rsid w:val="00737FA8"/>
    <w:rsid w:val="00774A0D"/>
    <w:rsid w:val="007929A0"/>
    <w:rsid w:val="00793CF9"/>
    <w:rsid w:val="007B73C6"/>
    <w:rsid w:val="007D15AB"/>
    <w:rsid w:val="007E0F02"/>
    <w:rsid w:val="00814F49"/>
    <w:rsid w:val="0084096B"/>
    <w:rsid w:val="00880CDE"/>
    <w:rsid w:val="008B2895"/>
    <w:rsid w:val="008B660B"/>
    <w:rsid w:val="008C644D"/>
    <w:rsid w:val="008F6E31"/>
    <w:rsid w:val="0090758B"/>
    <w:rsid w:val="00912391"/>
    <w:rsid w:val="009573F8"/>
    <w:rsid w:val="00973DD4"/>
    <w:rsid w:val="009A5D75"/>
    <w:rsid w:val="009D3EB0"/>
    <w:rsid w:val="00A149E5"/>
    <w:rsid w:val="00A16C6F"/>
    <w:rsid w:val="00A4278B"/>
    <w:rsid w:val="00A43A9B"/>
    <w:rsid w:val="00A77AF3"/>
    <w:rsid w:val="00AA139F"/>
    <w:rsid w:val="00AF21F7"/>
    <w:rsid w:val="00AF6A60"/>
    <w:rsid w:val="00B15088"/>
    <w:rsid w:val="00B311AA"/>
    <w:rsid w:val="00B5499C"/>
    <w:rsid w:val="00B919CA"/>
    <w:rsid w:val="00B924B5"/>
    <w:rsid w:val="00C14D5A"/>
    <w:rsid w:val="00C255AF"/>
    <w:rsid w:val="00C57BB2"/>
    <w:rsid w:val="00C73BF3"/>
    <w:rsid w:val="00C7423F"/>
    <w:rsid w:val="00C764F5"/>
    <w:rsid w:val="00C90980"/>
    <w:rsid w:val="00C91D5C"/>
    <w:rsid w:val="00C93B30"/>
    <w:rsid w:val="00CC54FB"/>
    <w:rsid w:val="00CE0330"/>
    <w:rsid w:val="00CE363E"/>
    <w:rsid w:val="00D84D94"/>
    <w:rsid w:val="00DA5079"/>
    <w:rsid w:val="00DB5434"/>
    <w:rsid w:val="00DE0FC1"/>
    <w:rsid w:val="00DF7E1F"/>
    <w:rsid w:val="00E01BD2"/>
    <w:rsid w:val="00E453DA"/>
    <w:rsid w:val="00E7290B"/>
    <w:rsid w:val="00EF6EEB"/>
    <w:rsid w:val="00F015E0"/>
    <w:rsid w:val="00F3530A"/>
    <w:rsid w:val="00F74ABD"/>
    <w:rsid w:val="00FC586E"/>
    <w:rsid w:val="00FC6B87"/>
    <w:rsid w:val="00FD717A"/>
    <w:rsid w:val="00FE2574"/>
    <w:rsid w:val="00FE59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semiHidden/>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ordorintelligence.com/industry-reports/massive-open-online-course-mooc-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109</cp:revision>
  <dcterms:created xsi:type="dcterms:W3CDTF">2024-03-15T13:59:00Z</dcterms:created>
  <dcterms:modified xsi:type="dcterms:W3CDTF">2024-03-18T10:55:00Z</dcterms:modified>
</cp:coreProperties>
</file>