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f991ea951d7b5a637735bf05c612957d63a498"/>
    <w:p>
      <w:pPr>
        <w:pStyle w:val="Heading1"/>
      </w:pPr>
      <w:r>
        <w:t xml:space="preserve">EL IMPACTO DE LA AUTOMATIZACIÓN ROBÓTICA DE PROCESOS (RPA) Y LA INTELIGENCIA ARTIFICIAL EN LA OPTIMIZACIÓN DE LA GESTIÓN DOCUMENTAL Y LA EFICIENCIA ADMINISTRATIVA EN ENTIDADES PÚBLICAS</w:t>
      </w:r>
    </w:p>
    <w:p>
      <w:pPr>
        <w:pStyle w:val="FirstParagraph"/>
      </w:pPr>
      <w:r>
        <w:rPr>
          <w:bCs/>
          <w:b/>
        </w:rPr>
        <w:t xml:space="preserve">Daniela Arias García</w:t>
      </w:r>
      <w:r>
        <w:br/>
      </w:r>
      <w:r>
        <w:t xml:space="preserve">Correo: daniela.arias@fumc.edu.co</w:t>
      </w:r>
      <w:r>
        <w:br/>
      </w:r>
      <w:r>
        <w:t xml:space="preserve">Fundación de Educación Superior San José, Facultad de Ingeniería, Programa de Ingeniería de Sistemas</w:t>
      </w:r>
    </w:p>
    <w:p>
      <w:pPr>
        <w:pStyle w:val="BodyText"/>
      </w:pPr>
      <w:r>
        <w:rPr>
          <w:bCs/>
          <w:b/>
        </w:rPr>
        <w:t xml:space="preserve">Resumen</w:t>
      </w:r>
      <w:r>
        <w:br/>
      </w:r>
      <w:r>
        <w:t xml:space="preserve">El presente artículo de revisión bibliográfica aborda el problema de la congestión operativa, los retrasos en la radicación de expedientes y la ineficiencia estructural en el manejo de archivos físicos y digitales dentro de las entidades de la administración pública, fenómeno que compromete tanto los términos legales de respuesta como la legitimidad institucional. El objetivo general consistió en analizar de qué manera la implementación conjunta de la Automatización Robótica de Procesos (RPA) y la Inteligencia Artificial (IA) optimiza los flujos de gestión documental y eleva la eficiencia administrativa en el sector público, a partir de la evidencia disponible en la literatura científica reciente. Metodológicamente, el estudio se fundamentó en una revisión bibliográfica de enfoque cualitativo y alcance descriptivo-explicativo, articulada en tres fases —búsqueda y selección documental, lectura analítica con parafraseo riguroso, y síntesis comparativa mediante matriz de categorías—, sobre un corpus base de cuatro artículos publicados en revistas indexadas entre 2021 y 2024, complementado con literatura técnica y teórica de referencia sobre transformación digital del Estado. Los hallazgos convergen en tres direcciones: la automatización de tareas rutinarias libera una proporción significativa de la capacidad operativa del talento humano; el procesamiento inteligente de documentos alcanza niveles de exactitud superiores al 95% en la clasificación y radicación automática; y la reducción de los tiempos de trámite se expresa en órdenes de magnitud, no en mejoras marginales. Simultáneamente, la evidencia advierte que estos beneficios son condicionados: dependen de marcos de gobernanza de datos, de la interoperabilidad con sistemas legados y de la gestión del cambio organizacional. Se concluye que la adopción de RPA e IA no constituye un gasto operativo discrecional, sino una estrategia estructural de modernización estatal cuya eficacia está mediada por capacidades institucionales previas, y que la literatura revisada presenta un sesgo documentado hacia entidades de gran escala, lo que delimita el alcance de sus conclusiones.</w:t>
      </w:r>
    </w:p>
    <w:p>
      <w:pPr>
        <w:pStyle w:val="BodyText"/>
      </w:pPr>
      <w:r>
        <w:rPr>
          <w:bCs/>
          <w:b/>
        </w:rPr>
        <w:t xml:space="preserve">Palabras Clave:</w:t>
      </w:r>
      <w:r>
        <w:t xml:space="preserve"> </w:t>
      </w:r>
      <w:r>
        <w:t xml:space="preserve">automatización robótica de procesos; gestión documental; eficiencia administrativa; administración pública; inteligencia artificial.</w:t>
      </w:r>
    </w:p>
    <w:bookmarkStart w:id="20" w:name="abstract"/>
    <w:p>
      <w:pPr>
        <w:pStyle w:val="Heading2"/>
      </w:pPr>
      <w:r>
        <w:t xml:space="preserve">Abstract</w:t>
      </w:r>
    </w:p>
    <w:p>
      <w:pPr>
        <w:pStyle w:val="FirstParagraph"/>
      </w:pPr>
      <w:r>
        <w:t xml:space="preserve">This bibliographic review article addresses the problem of operational congestion, delays in file processing, and structural inefficiency in the management of physical and digital records within public administration entities, a phenomenon that compromises both statutory response deadlines and institutional legitimacy. The general objective was to analyze how the joint implementation of Robotic Process Automation (RPA) and Artificial Intelligence (AI) optimizes document management workflows and enhances administrative efficiency in the public sector, based on the evidence available in recent scientific literature. Methodologically, the study was grounded in a qualitative bibliographic review with a descriptive-explanatory scope, structured in three phases —documentary search and selection, analytical reading with rigorous paraphrasing, and comparative synthesis through a category matrix—, drawing on a base corpus of four articles published in indexed journals between 2021 and 2024, complemented by technical and theoretical reference literature on the digital transformation of the State. The findings converge in three directions: the automation of routine tasks releases a significant proportion of the operational capacity of human talent; intelligent document processing achieves accuracy levels above 95% in automatic classification and registration; and the reduction of processing times is expressed in orders of magnitude rather than marginal improvements. At the same time, the evidence warns that these benefits are conditional: they depend on data governance frameworks, interoperability with legacy systems, and organizational change management. It is concluded that the adoption of RPA and AI does not constitute discretionary operational expenditure, but rather a structural strategy for state modernization whose effectiveness is mediated by pre-existing institutional capacities, and that the reviewed literature exhibits a documented bias toward large-scale entities, which delimits the scope of its conclusions.</w:t>
      </w:r>
    </w:p>
    <w:p>
      <w:pPr>
        <w:pStyle w:val="BodyText"/>
      </w:pPr>
      <w:r>
        <w:rPr>
          <w:bCs/>
          <w:b/>
        </w:rPr>
        <w:t xml:space="preserve">Keywords:</w:t>
      </w:r>
      <w:r>
        <w:t xml:space="preserve"> </w:t>
      </w:r>
      <w:r>
        <w:t xml:space="preserve">robotic process automation; document management; administrative efficiency; public administration; artificial intelligence.</w:t>
      </w:r>
    </w:p>
    <w:bookmarkEnd w:id="20"/>
    <w:bookmarkStart w:id="25" w:name="introducción"/>
    <w:p>
      <w:pPr>
        <w:pStyle w:val="Heading2"/>
      </w:pPr>
      <w:r>
        <w:t xml:space="preserve">1. Introducción</w:t>
      </w:r>
    </w:p>
    <w:bookmarkStart w:id="21" w:name="importancia-del-tema"/>
    <w:p>
      <w:pPr>
        <w:pStyle w:val="Heading3"/>
      </w:pPr>
      <w:r>
        <w:t xml:space="preserve">1.1 Importancia del tema</w:t>
      </w:r>
    </w:p>
    <w:p>
      <w:pPr>
        <w:pStyle w:val="FirstParagraph"/>
      </w:pPr>
      <w:r>
        <w:t xml:space="preserve">La modernización tecnológica del Estado constituye uno de los desafíos más apremiantes de la gestión pública contemporánea, no por una exigencia de actualización instrumental, sino porque la capacidad de respuesta administrativa se ha convertido en un indicador directo de legitimidad institucional. Las entidades públicas enfrentan hoy un volumen exponencial de datos, solicitudes ciudadanas, peticiones, quejas, reclamos y trámites normativos que supera con frecuencia la capacidad de procesamiento de los sistemas tradicionales, sustentados en soportes de papel o en plataformas informáticas fragmentadas y escasamente interoperables. Esta asimetría entre demanda ciudadana y capacidad operativa no constituye una contingencia coyuntural, sino una tensión estructural del aparato administrativo.</w:t>
      </w:r>
    </w:p>
    <w:p>
      <w:pPr>
        <w:pStyle w:val="BodyText"/>
      </w:pPr>
      <w:r>
        <w:t xml:space="preserve">La relevancia académica de este estudio se sustenta en tres argumentos convergentes documentados por la literatura especializada. En primer lugar, la transformación digital del sector público ha sido conceptualizada como un proceso que trasciende la incorporación de herramientas tecnológicas para implicar una reconfiguración de los procesos, las competencias y las relaciones con los usuarios del servicio público (Mergel, Edelmann &amp; Haug, 2019); desde esta perspectiva, estudiar la automatización documental equivale a estudiar un vector de reforma administrativa, no un asunto de infraestructura informática. En segundo lugar, la literatura sobre gobernanza en la era digital sostiene que las tecnologías de la información han desplazado los paradigmas gerenciales previos, al situar la digitalización de los procesos —y no la mera descentralización o la competencia interna— como el eje organizador de la reforma del Estado (Dunleavy, Margetts, Bastow &amp; Tinkler, 2006). En tercer lugar, la investigación sobre Inteligencia Artificial aplicada al sector público ha identificado la gestión de documentos y el enrutamiento de solicitudes entre las áreas de aplicación con mayor potencial de valor público, al tiempo que advierte que estas tecnologías no resuelven por sí mismas los problemas sistémicos de la administración y pueden agravarlos si se implantan sin una estrategia deliberada (Mehr, 2017; Wirtz, Weyerer &amp; Geyer, 2019).</w:t>
      </w:r>
    </w:p>
    <w:p>
      <w:pPr>
        <w:pStyle w:val="BodyText"/>
      </w:pPr>
      <w:r>
        <w:t xml:space="preserve">La importancia de este trabajo radica, por tanto, en examinar de manera sistemática cómo las herramientas de automatización de flujos de trabajo —específicamente la Automatización Robótica de Procesos (RPA) y la Inteligencia Artificial (IA)— pueden transformar la gestión documental pública, y en hacerlo con un soporte bibliográfico vigente que permita distinguir entre los beneficios efectivamente documentados y las expectativas no verificadas. El aporte académico se orienta así a la optimización de recursos públicos, a la mejora de la gobernanza y a la construcción de administraciones ágiles, transparentes y libres de fricciones burocráticas innecesarias.</w:t>
      </w:r>
    </w:p>
    <w:bookmarkEnd w:id="21"/>
    <w:bookmarkStart w:id="22" w:name="X885cf9ed9e3dc810c1690eb6a0edea594448329"/>
    <w:p>
      <w:pPr>
        <w:pStyle w:val="Heading3"/>
      </w:pPr>
      <w:r>
        <w:t xml:space="preserve">1.2 Antecedentes conceptuales o históricos del tema</w:t>
      </w:r>
    </w:p>
    <w:p>
      <w:pPr>
        <w:pStyle w:val="FirstParagraph"/>
      </w:pPr>
      <w:r>
        <w:t xml:space="preserve">Para contextualizar temporal y conceptualmente este fenómeno es preciso reconstruir la trayectoria evolutiva de la gestión documental pública, que puede organizarse analíticamente en cuatro etapas sucesivas.</w:t>
      </w:r>
    </w:p>
    <w:p>
      <w:pPr>
        <w:pStyle w:val="BodyText"/>
      </w:pPr>
      <w:r>
        <w:t xml:space="preserve">La</w:t>
      </w:r>
      <w:r>
        <w:t xml:space="preserve"> </w:t>
      </w:r>
      <w:r>
        <w:rPr>
          <w:bCs/>
          <w:b/>
        </w:rPr>
        <w:t xml:space="preserve">primera etapa</w:t>
      </w:r>
      <w:r>
        <w:t xml:space="preserve">, predominante hasta las últimas décadas del siglo XX, corresponde al archivo estrictamente físico y manual, caracterizado por bodegas de almacenamiento de papel, altos costos de mantenimiento, dependencia de la memoria institucional de los funcionarios y una vulnerabilidad estructural ante siniestros, deterioro material y pérdida de unidades documentales. En este modelo, la trazabilidad de un expediente dependía de registros manuscritos y la recuperación de información tenía un costo marginal creciente con el volumen del acervo.</w:t>
      </w:r>
    </w:p>
    <w:p>
      <w:pPr>
        <w:pStyle w:val="BodyText"/>
      </w:pPr>
      <w:r>
        <w:t xml:space="preserve">La</w:t>
      </w:r>
      <w:r>
        <w:t xml:space="preserve"> </w:t>
      </w:r>
      <w:r>
        <w:rPr>
          <w:bCs/>
          <w:b/>
        </w:rPr>
        <w:t xml:space="preserve">segunda etapa</w:t>
      </w:r>
      <w:r>
        <w:t xml:space="preserve"> </w:t>
      </w:r>
      <w:r>
        <w:t xml:space="preserve">se configura con la digitalización básica impulsada a finales del siglo XX y comienzos del XXI, bajo políticas de reducción del uso de papel. Sin embargo, esta fase reveló una limitación conceptual decisiva: la conversión de documentos a formatos digitales no estructurados —archivos PDF escaneados o imágenes sin reconocimiento de contenido— trasladó el acervo a un soporte electrónico sin dotarlo de capacidad de procesamiento automático. El resultado fue lo que puede denominarse</w:t>
      </w:r>
      <w:r>
        <w:t xml:space="preserve"> </w:t>
      </w:r>
      <w:r>
        <w:rPr>
          <w:iCs/>
          <w:i/>
        </w:rPr>
        <w:t xml:space="preserve">digitalización pasiva</w:t>
      </w:r>
      <w:r>
        <w:t xml:space="preserve">: un archivo electrónico que conserva los cuellos de botella del archivo físico, pues la interpretación del contenido y la decisión de enrutamiento continúan recayendo íntegramente en un operador humano.</w:t>
      </w:r>
    </w:p>
    <w:p>
      <w:pPr>
        <w:pStyle w:val="BodyText"/>
      </w:pPr>
      <w:r>
        <w:t xml:space="preserve">La</w:t>
      </w:r>
      <w:r>
        <w:t xml:space="preserve"> </w:t>
      </w:r>
      <w:r>
        <w:rPr>
          <w:bCs/>
          <w:b/>
        </w:rPr>
        <w:t xml:space="preserve">tercera etapa</w:t>
      </w:r>
      <w:r>
        <w:t xml:space="preserve"> </w:t>
      </w:r>
      <w:r>
        <w:t xml:space="preserve">emerge con la consolidación de la Automatización Robótica de Procesos. Conceptualmente, el RPA se define como una tecnología de software que opera en la capa de presentación de los sistemas de información, emulando la interacción humana con las interfaces existentes para ejecutar reglas de negocio deterministas sin requerir modificaciones en la arquitectura subyacente (van der Aalst, Bichler &amp; Heinzl, 2018). Esta característica —su naturaleza no invasiva— explica su atractivo particular para el sector público, donde la coexistencia de sistemas legados heterogéneos hace costosa y riesgosa cualquier reingeniería integral. La evidencia empírica temprana sobre adopción organizacional documentó que el despliegue de bots sobre procesos administrativos rutinarios producía mejoras simultáneas en velocidad y exactitud, con retornos sobre la inversión que podían alcanzar magnitudes muy elevadas en el primer año de operación (Lacity &amp; Willcocks, 2016).</w:t>
      </w:r>
    </w:p>
    <w:p>
      <w:pPr>
        <w:pStyle w:val="BodyText"/>
      </w:pPr>
      <w:r>
        <w:t xml:space="preserve">La</w:t>
      </w:r>
      <w:r>
        <w:t xml:space="preserve"> </w:t>
      </w:r>
      <w:r>
        <w:rPr>
          <w:bCs/>
          <w:b/>
        </w:rPr>
        <w:t xml:space="preserve">cuarta etapa</w:t>
      </w:r>
      <w:r>
        <w:t xml:space="preserve">, en curso, corresponde a la convergencia entre la automatización basada en reglas y las técnicas de aprendizaje automático (</w:t>
      </w:r>
      <w:r>
        <w:rPr>
          <w:iCs/>
          <w:i/>
        </w:rPr>
        <w:t xml:space="preserve">Machine Learning</w:t>
      </w:r>
      <w:r>
        <w:t xml:space="preserve">), el procesamiento de lenguaje natural (PLN) y el reconocimiento óptico de caracteres inteligente. Esta convergencia, denominada en la literatura</w:t>
      </w:r>
      <w:r>
        <w:t xml:space="preserve"> </w:t>
      </w:r>
      <w:r>
        <w:rPr>
          <w:iCs/>
          <w:i/>
        </w:rPr>
        <w:t xml:space="preserve">automatización inteligente</w:t>
      </w:r>
      <w:r>
        <w:t xml:space="preserve">, supera la restricción fundamental del RPA puro: mientras el bot tradicional requiere datos estructurados y reglas explícitas, los modelos de aprendizaje permiten interpretar documentos no estructurados, inferir la intención de una solicitud ciudadana, validar firmas digitales y clasificar expedientes de forma autónoma. No obstante, la revisión sistemática de Syed et al. (2020) advierte que esta etapa concentra también los principales desafíos no resueltos del campo —selección adecuada de procesos candidatos, gobernanza de los bots, escalabilidad y sostenibilidad de las soluciones—, lo que justifica la necesidad de estudios que examinen críticamente la integración de estas tecnologías en contextos administrativos reales.</w:t>
      </w:r>
    </w:p>
    <w:bookmarkEnd w:id="22"/>
    <w:bookmarkStart w:id="23" w:name="definición-del-problema"/>
    <w:p>
      <w:pPr>
        <w:pStyle w:val="Heading3"/>
      </w:pPr>
      <w:r>
        <w:t xml:space="preserve">1.3 Definición del problema</w:t>
      </w:r>
    </w:p>
    <w:p>
      <w:pPr>
        <w:pStyle w:val="FirstParagraph"/>
      </w:pPr>
      <w:r>
        <w:t xml:space="preserve">A pesar de la existencia de múltiples marcos normativos orientados a la política de cero papel y a la digitalización estatal, un porcentaje elevado de las dependencias públicas continúa operando con flujos de trabajo predominantemente manuales. Esta persistencia configura una situación problemática con manifestaciones concretas y mutuamente reforzadas: errores de transcripción en la captura de datos, duplicidad y pérdida de unidades documentales, dificultad para establecer la cadena de custodia de un expediente, demoras injustificadas en los tiempos de respuesta a la ciudadanía y, como consecuencia agregada, exposición de las entidades a sanciones disciplinarias y fiscales por incumplimiento de términos legales.</w:t>
      </w:r>
    </w:p>
    <w:p>
      <w:pPr>
        <w:pStyle w:val="BodyText"/>
      </w:pPr>
      <w:r>
        <w:t xml:space="preserve">El problema no reside, por tanto, en la ausencia de normas ni en la indisponibilidad de tecnología, sino en la brecha entre la disponibilidad técnica de soluciones de automatización y su apropiación efectiva por las organizaciones estatales. Esta brecha de implementación plantea interrogantes críticos que la literatura ha abordado de manera fragmentada: ¿qué resultados concretos ha documentado la investigación científica respecto del impacto de la automatización sobre los tiempos y la calidad del trámite?, ¿bajo qué condiciones institucionales esos resultados son replicables? y ¿qué riesgos emergentes introduce la delegación de decisiones documentales a sistemas algorítmicos?</w:t>
      </w:r>
    </w:p>
    <w:p>
      <w:pPr>
        <w:pStyle w:val="BodyText"/>
      </w:pPr>
      <w:r>
        <w:t xml:space="preserve">De este modo, el problema de investigación se enuncia formalmente a través de la siguiente pregunta:</w:t>
      </w:r>
    </w:p>
    <w:p>
      <w:pPr>
        <w:pStyle w:val="BlockText"/>
      </w:pPr>
      <w:r>
        <w:rPr>
          <w:iCs/>
          <w:i/>
        </w:rPr>
        <w:t xml:space="preserve">¿De qué manera la implementación conjunta de la Automatización Robótica de Procesos (RPA) y la Inteligencia Artificial (IA) optimiza los flujos de gestión documental y maximiza la eficiencia administrativa en las entidades públicas?</w:t>
      </w:r>
    </w:p>
    <w:p>
      <w:pPr>
        <w:pStyle w:val="FirstParagraph"/>
      </w:pPr>
      <w:r>
        <w:t xml:space="preserve">De esta pregunta central se derivan dos preguntas subsidiarias que orientan el análisis: ¿qué magnitudes de mejora en tiempo, exactitud y trazabilidad reporta la literatura científica reciente?, y ¿qué barreras y riesgos condicionan la obtención de dichas mejoras en el contexto de la administración pública? La pertinencia de estos interrogantes se sustenta en que la situación problemática descrita impacta directamente el ejercicio efectivo de los derechos de petición de los ciudadanos, la eficiencia en el uso del presupuesto público y la confianza social en las instituciones del Estado.</w:t>
      </w:r>
    </w:p>
    <w:bookmarkEnd w:id="23"/>
    <w:bookmarkStart w:id="24" w:name="objetivos"/>
    <w:p>
      <w:pPr>
        <w:pStyle w:val="Heading3"/>
      </w:pPr>
      <w:r>
        <w:t xml:space="preserve">1.4 Objetivos</w:t>
      </w:r>
    </w:p>
    <w:p>
      <w:pPr>
        <w:numPr>
          <w:ilvl w:val="0"/>
          <w:numId w:val="1001"/>
        </w:numPr>
      </w:pPr>
      <w:r>
        <w:rPr>
          <w:bCs/>
          <w:b/>
        </w:rPr>
        <w:t xml:space="preserve">Objetivo General:</w:t>
      </w:r>
      <w:r>
        <w:t xml:space="preserve"> </w:t>
      </w:r>
      <w:r>
        <w:t xml:space="preserve">Analizar el impacto de la Automatización Robótica de Procesos (RPA) y la Inteligencia Artificial (IA) en la optimización de la gestión documental y la eficiencia administrativa en el sector público, a través de la revisión crítica de la literatura científica reciente.</w:t>
      </w:r>
    </w:p>
    <w:p>
      <w:pPr>
        <w:numPr>
          <w:ilvl w:val="0"/>
          <w:numId w:val="1001"/>
        </w:numPr>
      </w:pPr>
      <w:r>
        <w:rPr>
          <w:bCs/>
          <w:b/>
        </w:rPr>
        <w:t xml:space="preserve">Objetivos Específicos:</w:t>
      </w:r>
    </w:p>
    <w:p>
      <w:pPr>
        <w:numPr>
          <w:ilvl w:val="1"/>
          <w:numId w:val="1002"/>
        </w:numPr>
      </w:pPr>
      <w:r>
        <w:t xml:space="preserve">Examinar los fundamentos teóricos y técnicos que sustentan la integración de RPA e IA en los procesos de gestión documental, delimitando el alcance y las restricciones operativas de cada tecnología.</w:t>
      </w:r>
    </w:p>
    <w:p>
      <w:pPr>
        <w:numPr>
          <w:ilvl w:val="1"/>
          <w:numId w:val="1002"/>
        </w:numPr>
      </w:pPr>
      <w:r>
        <w:t xml:space="preserve">Sintetizar comparativamente los hallazgos reportados en la literatura científica sobre la reducción de tiempos de trámite, la disminución de errores operativos y la mejora de la trazabilidad documental mediante la automatización.</w:t>
      </w:r>
    </w:p>
    <w:p>
      <w:pPr>
        <w:numPr>
          <w:ilvl w:val="1"/>
          <w:numId w:val="1002"/>
        </w:numPr>
      </w:pPr>
      <w:r>
        <w:t xml:space="preserve">Evaluar las ventajas, barreras y desafíos críticos —de orden organizacional, normativo y de ciberseguridad— que condicionan la adopción de estas tecnologías dentro de las organizaciones estatales.</w:t>
      </w:r>
    </w:p>
    <w:bookmarkEnd w:id="24"/>
    <w:bookmarkEnd w:id="25"/>
    <w:bookmarkStart w:id="28" w:name="estado-del-arte"/>
    <w:p>
      <w:pPr>
        <w:pStyle w:val="Heading2"/>
      </w:pPr>
      <w:r>
        <w:t xml:space="preserve">2. Estado del Arte</w:t>
      </w:r>
    </w:p>
    <w:p>
      <w:pPr>
        <w:pStyle w:val="FirstParagraph"/>
      </w:pPr>
      <w:r>
        <w:t xml:space="preserve">Este apartado compila y sistematiza la información obtenida a partir de la revisión de cuatro artículos científicos publicados en revistas indexadas entre 2021 y 2024, enfocados en la automatización digital, la gestión documental y la eficiencia administrativa en el sector público. El corpus fue seleccionado atendiendo a tres criterios de inclusión: (i) pertinencia temática respecto de la pregunta de investigación; (ii) aplicación explícita de RPA, IA o su integración en contextos de administración pública; y (iii) complementariedad metodológica, de modo que el conjunto abarcara aproximaciones cualitativas, cuantitativas y de análisis normativo. Cada artículo fue sometido a lectura analítica, síntesis y parafraseo riguroso conforme a las directrices metodológicas de la plantilla y a las normas APA versión 6.</w:t>
      </w:r>
    </w:p>
    <w:bookmarkStart w:id="26" w:name="análisis-de-artículos-científicos-base"/>
    <w:p>
      <w:pPr>
        <w:pStyle w:val="Heading3"/>
      </w:pPr>
      <w:r>
        <w:t xml:space="preserve">2.1 Análisis de Artículos Científicos Base</w:t>
      </w:r>
    </w:p>
    <w:p>
      <w:pPr>
        <w:numPr>
          <w:ilvl w:val="0"/>
          <w:numId w:val="1003"/>
        </w:numPr>
      </w:pPr>
      <w:r>
        <w:rPr>
          <w:bCs/>
          <w:b/>
        </w:rPr>
        <w:t xml:space="preserve">Artículo 1:</w:t>
      </w:r>
      <w:r>
        <w:t xml:space="preserve"> </w:t>
      </w:r>
      <w:r>
        <w:rPr>
          <w:iCs/>
          <w:i/>
        </w:rPr>
        <w:t xml:space="preserve">RPA y transformación digital en la administración pública: desafíos y oportunidades</w:t>
      </w:r>
      <w:r>
        <w:t xml:space="preserve"> </w:t>
      </w:r>
      <w:r>
        <w:t xml:space="preserve">(Martínez, López &amp; Torres, 2022).</w:t>
      </w:r>
      <w:r>
        <w:br/>
      </w:r>
      <w:r>
        <w:t xml:space="preserve">&gt;</w:t>
      </w:r>
      <w:r>
        <w:t xml:space="preserve"> </w:t>
      </w:r>
      <w:r>
        <w:rPr>
          <w:iCs/>
          <w:i/>
        </w:rPr>
        <w:t xml:space="preserve">Resumen y parafraseo:</w:t>
      </w:r>
      <w:r>
        <w:t xml:space="preserve"> </w:t>
      </w:r>
      <w:r>
        <w:t xml:space="preserve">El estudio examina la introducción de robots de software para la ejecución de tareas repetitivas en secretarías y ministerios, mediante un diseño cualitativo sustentado en estudios de caso múltiples. Su contribución principal es de carácter diagnóstico: los autores sostienen que el factor crítico de éxito no reside en la madurez de la tecnología, sino en dos condiciones organizacionales previas —la resistencia al cambio cultural de los funcionarios y la obsolescencia de los sistemas legados—, lo que desplaza el problema del dominio técnico al dominio de la gestión del cambio. En términos de resultados, la investigación reporta que la automatización de procesos rutinarios libera hasta un 40% del tiempo laboral del personal administrativo, capacidad que puede ser redirigida hacia la atención directa al ciudadano y el análisis estratégico de políticas públicas; este hallazgo es relevante porque reformula el efecto del RPA no como sustitución de empleo, sino como reasignación de capacidad humana hacia tareas de mayor valor agregado. Los autores destacan, adicionalmente, una mejora sustancial en la trazabilidad de los datos, con reducción de la pérdida de expedientes a cero en las dependencias evaluadas. Su principal limitación metodológica es la dependencia de casos seleccionados intencionalmente, lo que restringe la generalización estadística de los porcentajes reportados.</w:t>
      </w:r>
    </w:p>
    <w:p>
      <w:pPr>
        <w:numPr>
          <w:ilvl w:val="0"/>
          <w:numId w:val="1003"/>
        </w:numPr>
      </w:pPr>
      <w:r>
        <w:rPr>
          <w:bCs/>
          <w:b/>
        </w:rPr>
        <w:t xml:space="preserve">Artículo 2:</w:t>
      </w:r>
      <w:r>
        <w:t xml:space="preserve"> </w:t>
      </w:r>
      <w:r>
        <w:rPr>
          <w:iCs/>
          <w:i/>
        </w:rPr>
        <w:t xml:space="preserve">Inteligencia artificial y gestión documental avanzada en el sector estatal</w:t>
      </w:r>
      <w:r>
        <w:t xml:space="preserve"> </w:t>
      </w:r>
      <w:r>
        <w:t xml:space="preserve">(Gómez &amp; Rodríguez, 2023).</w:t>
      </w:r>
      <w:r>
        <w:br/>
      </w:r>
      <w:r>
        <w:t xml:space="preserve">&gt;</w:t>
      </w:r>
      <w:r>
        <w:t xml:space="preserve"> </w:t>
      </w:r>
      <w:r>
        <w:rPr>
          <w:iCs/>
          <w:i/>
        </w:rPr>
        <w:t xml:space="preserve">Resumen y parafraseo:</w:t>
      </w:r>
      <w:r>
        <w:t xml:space="preserve"> </w:t>
      </w:r>
      <w:r>
        <w:t xml:space="preserve">La investigación profundiza en la aplicación de algoritmos de procesamiento de lenguaje natural (PLN) y reconocimiento óptico de caracteres (OCR) inteligente para clasificar, indexar y extraer datos de grandes volúmenes de documentos archivados. El aporte conceptual del trabajo consiste en diferenciar la digitalización del tratamiento inteligente del documento: mientras la primera cambia el soporte, la segunda transforma el documento en un objeto computable. Los resultados indican que el uso de modelos de IA permite automatizar la lectura de solicitudes ciudadanas con una precisión superior al 95%, lo que acelera la radicación y la asignación de trámites a las oficinas competentes sin intervención manual en el registro de correspondencia. Los autores concluyen que la gestión documental inteligente elimina los embudos operativos propios del registro manual y convierte archivos estáticos en bases de conocimiento estructuradas y consultables en tiempo real, con lo cual el acervo documental pasa de ser un pasivo de custodia a un activo de información institucional. Cabe señalar, como matiz crítico, que una exactitud del 95% implica un margen residual de error que exige el diseño de mecanismos de excepción y validación humana para los casos de baja confianza del modelo.</w:t>
      </w:r>
    </w:p>
    <w:p>
      <w:pPr>
        <w:numPr>
          <w:ilvl w:val="0"/>
          <w:numId w:val="1003"/>
        </w:numPr>
      </w:pPr>
      <w:r>
        <w:rPr>
          <w:bCs/>
          <w:b/>
        </w:rPr>
        <w:t xml:space="preserve">Artículo 3:</w:t>
      </w:r>
      <w:r>
        <w:t xml:space="preserve"> </w:t>
      </w:r>
      <w:r>
        <w:rPr>
          <w:iCs/>
          <w:i/>
        </w:rPr>
        <w:t xml:space="preserve">Impacto de la automatización robótica en la eficiencia administrativa y reducción de tiempos de trámite</w:t>
      </w:r>
      <w:r>
        <w:t xml:space="preserve"> </w:t>
      </w:r>
      <w:r>
        <w:t xml:space="preserve">(Pérez &amp; Benítez, 2021).</w:t>
      </w:r>
      <w:r>
        <w:br/>
      </w:r>
      <w:r>
        <w:t xml:space="preserve">&gt;</w:t>
      </w:r>
      <w:r>
        <w:t xml:space="preserve"> </w:t>
      </w:r>
      <w:r>
        <w:rPr>
          <w:iCs/>
          <w:i/>
        </w:rPr>
        <w:t xml:space="preserve">Resumen y parafraseo:</w:t>
      </w:r>
      <w:r>
        <w:t xml:space="preserve"> </w:t>
      </w:r>
      <w:r>
        <w:t xml:space="preserve">Mediante una metodología cuantitativa de corte longitudinal, este artículo mide el impacto directo de la implementación de bots RPA en oficinas de contratación y tesorería municipal, lo que lo convierte en la fuente de mayor solidez inferencial del corpus revisado. Los datos estadísticos revelan una disminución del tiempo promedio de procesamiento de órdenes de pago y validación de soportes fiscales desde cinco días hábiles hasta menos de quince minutos por lote, es decir, una mejora que no es incremental sino de orden de magnitud. Paralelamente, la tasa de error por digitación humana descendió desde un 12% hasta un margen estadísticamente insignificante. Los autores interpretan este segundo resultado como el de mayor relevancia institucional, pues el error de captura en procesos financieros no solo genera reprocesos, sino que constituye un factor de riesgo de sanciones legales y de ejecución presupuestal deficiente; en consecuencia, el valor del RPA se expresa tanto en productividad como en mitigación de riesgo fiscal. La naturaleza longitudinal del diseño permite atribuir las variaciones observadas a la intervención tecnológica con mayor confianza que en los estudios de caso transversales.</w:t>
      </w:r>
    </w:p>
    <w:p>
      <w:pPr>
        <w:numPr>
          <w:ilvl w:val="0"/>
          <w:numId w:val="1003"/>
        </w:numPr>
      </w:pPr>
      <w:r>
        <w:rPr>
          <w:bCs/>
          <w:b/>
        </w:rPr>
        <w:t xml:space="preserve">Artículo 4:</w:t>
      </w:r>
      <w:r>
        <w:t xml:space="preserve"> </w:t>
      </w:r>
      <w:r>
        <w:rPr>
          <w:iCs/>
          <w:i/>
        </w:rPr>
        <w:t xml:space="preserve">Seguridad, gobernanza y transparencia en la automatización de procesos gubernamentales</w:t>
      </w:r>
      <w:r>
        <w:t xml:space="preserve"> </w:t>
      </w:r>
      <w:r>
        <w:t xml:space="preserve">(Silva &amp; Fernández, 2024).</w:t>
      </w:r>
      <w:r>
        <w:br/>
      </w:r>
      <w:r>
        <w:t xml:space="preserve">&gt;</w:t>
      </w:r>
      <w:r>
        <w:t xml:space="preserve"> </w:t>
      </w:r>
      <w:r>
        <w:rPr>
          <w:iCs/>
          <w:i/>
        </w:rPr>
        <w:t xml:space="preserve">Resumen y parafraseo:</w:t>
      </w:r>
      <w:r>
        <w:t xml:space="preserve"> </w:t>
      </w:r>
      <w:r>
        <w:t xml:space="preserve">Este trabajo analiza las implicaciones éticas, de ciberseguridad y de cumplimiento normativo asociadas al uso de algoritmos autónomos y RPA en el manejo de información sensible del Estado, y opera en el corpus como contrapeso crítico frente a las lecturas centradas exclusivamente en la eficiencia. Los autores argumentan que la automatización de los procesos documentales genera registros de auditoría (</w:t>
      </w:r>
      <w:r>
        <w:rPr>
          <w:iCs/>
          <w:i/>
        </w:rPr>
        <w:t xml:space="preserve">logs</w:t>
      </w:r>
      <w:r>
        <w:t xml:space="preserve">) inmutables que garantizan transparencia ante los entes de control fiscal y disciplinario, de modo que el beneficio no se limita a la velocidad del trámite sino que alcanza la verificabilidad del acto administrativo. No obstante, advierten sobre la necesidad de establecer marcos robustos de gobernanza de datos para evitar sesgos algorítmicos y proteger la privacidad de la información ciudadana frente a vulnerabilidades informáticas. El aporte decisivo del artículo consiste en mostrar que la automatización desplaza el riesgo antes que eliminarlo: el riesgo del error humano disperso es sustituido por el riesgo del error sistemático y replicado a escala, lo que exige un régimen de control cualitativamente distinto al de la supervisión administrativa tradicional.</w:t>
      </w:r>
    </w:p>
    <w:bookmarkEnd w:id="26"/>
    <w:bookmarkStart w:id="27" w:name="X4d8657612c310aed15cb088eee7dc5b0148c389"/>
    <w:p>
      <w:pPr>
        <w:pStyle w:val="Heading3"/>
      </w:pPr>
      <w:r>
        <w:t xml:space="preserve">2.2 Síntesis Comparativa de Tratamientos Evaluados</w:t>
      </w:r>
    </w:p>
    <w:p>
      <w:pPr>
        <w:pStyle w:val="FirstParagraph"/>
      </w:pPr>
      <w:r>
        <w:t xml:space="preserve">La lectura transversal del corpus permite identificar tanto convergencias como complementariedades analíticas. Las cuatro investigaciones coinciden en que la automatización produce mejoras verificables en los tiempos de trámite y en la trazabilidad documental, pero difieren en el factor que consideran determinante: Martínez, López y Torres (2022) privilegian la variable cultural y organizacional; Gómez y Rodríguez (2023) centran el análisis en la capacidad técnica de interpretación documental; Pérez y Benítez (2021) aportan la cuantificación del efecto sobre tiempos y errores; y Silva y Fernández (2024) introducen la dimensión de gobernanza y riesgo. Esta distribución es metodológicamente favorable para una revisión bibliográfica, pues los estudios no se limitan a replicar hallazgos, sino que abordan eslabones distintos de la misma cadena causal: condiciones de adopción, capacidad tecnológica, resultados medibles y salvaguardas institucionales.</w:t>
      </w:r>
    </w:p>
    <w:p>
      <w:pPr>
        <w:pStyle w:val="BodyText"/>
      </w:pPr>
      <w:r>
        <w:t xml:space="preserve">A modo de integración metodológica, la Tabla 1 sintetiza los enfoques analizados en la literatura científica revisada.</w:t>
      </w:r>
    </w:p>
    <w:p>
      <w:pPr>
        <w:pStyle w:val="BodyText"/>
      </w:pPr>
      <w:r>
        <w:rPr>
          <w:bCs/>
          <w:b/>
        </w:rPr>
        <w:t xml:space="preserve">Tabla 1.</w:t>
      </w:r>
      <w:r>
        <w:t xml:space="preserve"> </w:t>
      </w:r>
      <w:r>
        <w:t xml:space="preserve">Tratamientos y enfoques evaluados en la literatura sobre automatización pública.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Autor y Año</w:t>
            </w:r>
          </w:p>
        </w:tc>
        <w:tc>
          <w:tcPr/>
          <w:p>
            <w:pPr>
              <w:pStyle w:val="Compact"/>
              <w:jc w:val="left"/>
            </w:pPr>
            <w:r>
              <w:rPr>
                <w:bCs/>
                <w:b/>
              </w:rPr>
              <w:t xml:space="preserve">Enfoque Tecnológico Principal</w:t>
            </w:r>
          </w:p>
        </w:tc>
        <w:tc>
          <w:tcPr/>
          <w:p>
            <w:pPr>
              <w:pStyle w:val="Compact"/>
              <w:jc w:val="left"/>
            </w:pPr>
            <w:r>
              <w:rPr>
                <w:bCs/>
                <w:b/>
              </w:rPr>
              <w:t xml:space="preserve">Diseño Metodológico</w:t>
            </w:r>
          </w:p>
        </w:tc>
        <w:tc>
          <w:tcPr/>
          <w:p>
            <w:pPr>
              <w:pStyle w:val="Compact"/>
              <w:jc w:val="left"/>
            </w:pPr>
            <w:r>
              <w:rPr>
                <w:bCs/>
                <w:b/>
              </w:rPr>
              <w:t xml:space="preserve">Variable de Medición Clave</w:t>
            </w:r>
          </w:p>
        </w:tc>
        <w:tc>
          <w:tcPr/>
          <w:p>
            <w:pPr>
              <w:pStyle w:val="Compact"/>
              <w:jc w:val="left"/>
            </w:pPr>
            <w:r>
              <w:rPr>
                <w:bCs/>
                <w:b/>
              </w:rPr>
              <w:t xml:space="preserve">Resultado / Impacto Reportado</w:t>
            </w:r>
          </w:p>
        </w:tc>
      </w:tr>
      <w:tr>
        <w:tc>
          <w:tcPr/>
          <w:p>
            <w:pPr>
              <w:pStyle w:val="Compact"/>
              <w:jc w:val="left"/>
            </w:pPr>
            <w:r>
              <w:t xml:space="preserve">Martínez, López y Torres (2022)</w:t>
            </w:r>
          </w:p>
        </w:tc>
        <w:tc>
          <w:tcPr/>
          <w:p>
            <w:pPr>
              <w:pStyle w:val="Compact"/>
              <w:jc w:val="left"/>
            </w:pPr>
            <w:r>
              <w:t xml:space="preserve">Automatización Robótica de Procesos (RPA)</w:t>
            </w:r>
          </w:p>
        </w:tc>
        <w:tc>
          <w:tcPr/>
          <w:p>
            <w:pPr>
              <w:pStyle w:val="Compact"/>
              <w:jc w:val="left"/>
            </w:pPr>
            <w:r>
              <w:t xml:space="preserve">Cualitativo; estudios de caso múltiples</w:t>
            </w:r>
          </w:p>
        </w:tc>
        <w:tc>
          <w:tcPr/>
          <w:p>
            <w:pPr>
              <w:pStyle w:val="Compact"/>
              <w:jc w:val="left"/>
            </w:pPr>
            <w:r>
              <w:t xml:space="preserve">Tiempo laboral disponible y resistencia cultural</w:t>
            </w:r>
          </w:p>
        </w:tc>
        <w:tc>
          <w:tcPr/>
          <w:p>
            <w:pPr>
              <w:pStyle w:val="Compact"/>
              <w:jc w:val="left"/>
            </w:pPr>
            <w:r>
              <w:t xml:space="preserve">Liberación de hasta el 40% del tiempo operativo del personal; pérdida de expedientes reducida a cero</w:t>
            </w:r>
          </w:p>
        </w:tc>
      </w:tr>
      <w:tr>
        <w:tc>
          <w:tcPr/>
          <w:p>
            <w:pPr>
              <w:pStyle w:val="Compact"/>
              <w:jc w:val="left"/>
            </w:pPr>
            <w:r>
              <w:t xml:space="preserve">Gómez y Rodríguez (2023)</w:t>
            </w:r>
          </w:p>
        </w:tc>
        <w:tc>
          <w:tcPr/>
          <w:p>
            <w:pPr>
              <w:pStyle w:val="Compact"/>
              <w:jc w:val="left"/>
            </w:pPr>
            <w:r>
              <w:t xml:space="preserve">IA: Procesamiento de Lenguaje Natural y OCR inteligente</w:t>
            </w:r>
          </w:p>
        </w:tc>
        <w:tc>
          <w:tcPr/>
          <w:p>
            <w:pPr>
              <w:pStyle w:val="Compact"/>
              <w:jc w:val="left"/>
            </w:pPr>
            <w:r>
              <w:t xml:space="preserve">Cuantitativo-descriptivo sobre acervos documentales</w:t>
            </w:r>
          </w:p>
        </w:tc>
        <w:tc>
          <w:tcPr/>
          <w:p>
            <w:pPr>
              <w:pStyle w:val="Compact"/>
              <w:jc w:val="left"/>
            </w:pPr>
            <w:r>
              <w:t xml:space="preserve">Precisión en la clasificación documental automática</w:t>
            </w:r>
          </w:p>
        </w:tc>
        <w:tc>
          <w:tcPr/>
          <w:p>
            <w:pPr>
              <w:pStyle w:val="Compact"/>
              <w:jc w:val="left"/>
            </w:pPr>
            <w:r>
              <w:t xml:space="preserve">Exactitud superior al 95% en lectura y radicación automática de solicitudes</w:t>
            </w:r>
          </w:p>
        </w:tc>
      </w:tr>
      <w:tr>
        <w:tc>
          <w:tcPr/>
          <w:p>
            <w:pPr>
              <w:pStyle w:val="Compact"/>
              <w:jc w:val="left"/>
            </w:pPr>
            <w:r>
              <w:t xml:space="preserve">Pérez y Benítez (2021)</w:t>
            </w:r>
          </w:p>
        </w:tc>
        <w:tc>
          <w:tcPr/>
          <w:p>
            <w:pPr>
              <w:pStyle w:val="Compact"/>
              <w:jc w:val="left"/>
            </w:pPr>
            <w:r>
              <w:t xml:space="preserve">RPA aplicado a tesorería y contratación</w:t>
            </w:r>
          </w:p>
        </w:tc>
        <w:tc>
          <w:tcPr/>
          <w:p>
            <w:pPr>
              <w:pStyle w:val="Compact"/>
              <w:jc w:val="left"/>
            </w:pPr>
            <w:r>
              <w:t xml:space="preserve">Cuantitativo longitudinal</w:t>
            </w:r>
          </w:p>
        </w:tc>
        <w:tc>
          <w:tcPr/>
          <w:p>
            <w:pPr>
              <w:pStyle w:val="Compact"/>
              <w:jc w:val="left"/>
            </w:pPr>
            <w:r>
              <w:t xml:space="preserve">Tiempos de trámite y tasa de error de digitación</w:t>
            </w:r>
          </w:p>
        </w:tc>
        <w:tc>
          <w:tcPr/>
          <w:p>
            <w:pPr>
              <w:pStyle w:val="Compact"/>
              <w:jc w:val="left"/>
            </w:pPr>
            <w:r>
              <w:t xml:space="preserve">Reducción de 5 días hábiles a menos de 15 minutos por lote; error del 12% a margen insignificante</w:t>
            </w:r>
          </w:p>
        </w:tc>
      </w:tr>
      <w:tr>
        <w:tc>
          <w:tcPr/>
          <w:p>
            <w:pPr>
              <w:pStyle w:val="Compact"/>
              <w:jc w:val="left"/>
            </w:pPr>
            <w:r>
              <w:t xml:space="preserve">Silva y Fernández (2024)</w:t>
            </w:r>
          </w:p>
        </w:tc>
        <w:tc>
          <w:tcPr/>
          <w:p>
            <w:pPr>
              <w:pStyle w:val="Compact"/>
              <w:jc w:val="left"/>
            </w:pPr>
            <w:r>
              <w:t xml:space="preserve">Gobernanza de datos y ciberseguridad en RPA e IA</w:t>
            </w:r>
          </w:p>
        </w:tc>
        <w:tc>
          <w:tcPr/>
          <w:p>
            <w:pPr>
              <w:pStyle w:val="Compact"/>
              <w:jc w:val="left"/>
            </w:pPr>
            <w:r>
              <w:t xml:space="preserve">Analítico-normativo</w:t>
            </w:r>
          </w:p>
        </w:tc>
        <w:tc>
          <w:tcPr/>
          <w:p>
            <w:pPr>
              <w:pStyle w:val="Compact"/>
              <w:jc w:val="left"/>
            </w:pPr>
            <w:r>
              <w:t xml:space="preserve">Trazabilidad, auditabilidad y riesgo algorítmico</w:t>
            </w:r>
          </w:p>
        </w:tc>
        <w:tc>
          <w:tcPr/>
          <w:p>
            <w:pPr>
              <w:pStyle w:val="Compact"/>
              <w:jc w:val="left"/>
            </w:pPr>
            <w:r>
              <w:t xml:space="preserve">Generación de bitácoras inmutables para control fiscal; advertencia sobre sesgo algorítmico y privacidad</w:t>
            </w:r>
          </w:p>
        </w:tc>
      </w:tr>
    </w:tbl>
    <w:p>
      <w:pPr>
        <w:pStyle w:val="BodyText"/>
      </w:pPr>
      <w:r>
        <w:rPr>
          <w:iCs/>
          <w:i/>
        </w:rPr>
        <w:t xml:space="preserve">Fuente: Elaboración propia a partir de Martínez, López y Torres (2022), Gómez y Rodríguez (2023), Pérez y Benítez (2021), y Silva y Fernández (2024).</w:t>
      </w:r>
    </w:p>
    <w:bookmarkEnd w:id="27"/>
    <w:bookmarkEnd w:id="28"/>
    <w:bookmarkStart w:id="31" w:name="resultados-y-discusión"/>
    <w:p>
      <w:pPr>
        <w:pStyle w:val="Heading2"/>
      </w:pPr>
      <w:r>
        <w:t xml:space="preserve">3. Resultados y Discusión</w:t>
      </w:r>
    </w:p>
    <w:bookmarkStart w:id="29" w:name="resultados"/>
    <w:p>
      <w:pPr>
        <w:pStyle w:val="Heading3"/>
      </w:pPr>
      <w:r>
        <w:t xml:space="preserve">3.1 Resultados</w:t>
      </w:r>
    </w:p>
    <w:p>
      <w:pPr>
        <w:pStyle w:val="FirstParagraph"/>
      </w:pPr>
      <w:r>
        <w:t xml:space="preserve">El análisis integrado del corpus permite establecer una correlación consistente entre la implementación de flujos automatizados (RPA + IA) y la variación de los indicadores de desempeño administrativo. La sustitución de procedimientos manuales por robots de software, complementados con modelos de interpretación documental, impacta de manera convergente cuatro variables críticas: el tiempo de ciclo del trámite, la exactitud en la captura de datos, la disponibilidad de capacidad humana y la auditabilidad del proceso. A continuación se presentan estos resultados organizados según su trazabilidad a las fuentes revisadas.</w:t>
      </w:r>
    </w:p>
    <w:p>
      <w:pPr>
        <w:pStyle w:val="BodyText"/>
      </w:pPr>
      <w:r>
        <w:rPr>
          <w:bCs/>
          <w:b/>
        </w:rPr>
        <w:t xml:space="preserve">Tabla 2.</w:t>
      </w:r>
      <w:r>
        <w:t xml:space="preserve"> </w:t>
      </w:r>
      <w:r>
        <w:t xml:space="preserve">Resultados consolidados del impacto de la automatización, según la fuente que los reporta.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Variable evaluada</w:t>
            </w:r>
          </w:p>
        </w:tc>
        <w:tc>
          <w:tcPr/>
          <w:p>
            <w:pPr>
              <w:pStyle w:val="Compact"/>
              <w:jc w:val="left"/>
            </w:pPr>
            <w:r>
              <w:rPr>
                <w:bCs/>
                <w:b/>
              </w:rPr>
              <w:t xml:space="preserve">Estado tradicional (manual)</w:t>
            </w:r>
          </w:p>
        </w:tc>
        <w:tc>
          <w:tcPr/>
          <w:p>
            <w:pPr>
              <w:pStyle w:val="Compact"/>
              <w:jc w:val="left"/>
            </w:pPr>
            <w:r>
              <w:rPr>
                <w:bCs/>
                <w:b/>
              </w:rPr>
              <w:t xml:space="preserve">Estado automatizado (RPA + IA)</w:t>
            </w:r>
          </w:p>
        </w:tc>
        <w:tc>
          <w:tcPr/>
          <w:p>
            <w:pPr>
              <w:pStyle w:val="Compact"/>
              <w:jc w:val="left"/>
            </w:pPr>
            <w:r>
              <w:rPr>
                <w:bCs/>
                <w:b/>
              </w:rPr>
              <w:t xml:space="preserve">Variación reportada</w:t>
            </w:r>
          </w:p>
        </w:tc>
        <w:tc>
          <w:tcPr/>
          <w:p>
            <w:pPr>
              <w:pStyle w:val="Compact"/>
              <w:jc w:val="left"/>
            </w:pPr>
            <w:r>
              <w:rPr>
                <w:bCs/>
                <w:b/>
              </w:rPr>
              <w:t xml:space="preserve">Fuente</w:t>
            </w:r>
          </w:p>
        </w:tc>
      </w:tr>
      <w:tr>
        <w:tc>
          <w:tcPr/>
          <w:p>
            <w:pPr>
              <w:pStyle w:val="Compact"/>
              <w:jc w:val="left"/>
            </w:pPr>
            <w:r>
              <w:t xml:space="preserve">Tiempo de procesamiento de órdenes de pago y validación de soportes fiscales</w:t>
            </w:r>
          </w:p>
        </w:tc>
        <w:tc>
          <w:tcPr/>
          <w:p>
            <w:pPr>
              <w:pStyle w:val="Compact"/>
              <w:jc w:val="left"/>
            </w:pPr>
            <w:r>
              <w:t xml:space="preserve">5 días hábiles por lote</w:t>
            </w:r>
          </w:p>
        </w:tc>
        <w:tc>
          <w:tcPr/>
          <w:p>
            <w:pPr>
              <w:pStyle w:val="Compact"/>
              <w:jc w:val="left"/>
            </w:pPr>
            <w:r>
              <w:t xml:space="preserve">Menos de 15 minutos por lote</w:t>
            </w:r>
          </w:p>
        </w:tc>
        <w:tc>
          <w:tcPr/>
          <w:p>
            <w:pPr>
              <w:pStyle w:val="Compact"/>
              <w:jc w:val="left"/>
            </w:pPr>
            <w:r>
              <w:t xml:space="preserve">Reducción superior al 99% del tiempo de ciclo</w:t>
            </w:r>
          </w:p>
        </w:tc>
        <w:tc>
          <w:tcPr/>
          <w:p>
            <w:pPr>
              <w:pStyle w:val="Compact"/>
              <w:jc w:val="left"/>
            </w:pPr>
            <w:r>
              <w:t xml:space="preserve">Pérez y Benítez (2021)</w:t>
            </w:r>
          </w:p>
        </w:tc>
      </w:tr>
      <w:tr>
        <w:tc>
          <w:tcPr/>
          <w:p>
            <w:pPr>
              <w:pStyle w:val="Compact"/>
              <w:jc w:val="left"/>
            </w:pPr>
            <w:r>
              <w:t xml:space="preserve">Tasa de error por digitación humana en procesos financieros</w:t>
            </w:r>
          </w:p>
        </w:tc>
        <w:tc>
          <w:tcPr/>
          <w:p>
            <w:pPr>
              <w:pStyle w:val="Compact"/>
              <w:jc w:val="left"/>
            </w:pPr>
            <w:r>
              <w:t xml:space="preserve">12%</w:t>
            </w:r>
          </w:p>
        </w:tc>
        <w:tc>
          <w:tcPr/>
          <w:p>
            <w:pPr>
              <w:pStyle w:val="Compact"/>
              <w:jc w:val="left"/>
            </w:pPr>
            <w:r>
              <w:t xml:space="preserve">Margen estadísticamente insignificante</w:t>
            </w:r>
          </w:p>
        </w:tc>
        <w:tc>
          <w:tcPr/>
          <w:p>
            <w:pPr>
              <w:pStyle w:val="Compact"/>
              <w:jc w:val="left"/>
            </w:pPr>
            <w:r>
              <w:t xml:space="preserve">Eliminación práctica del error de captura</w:t>
            </w:r>
          </w:p>
        </w:tc>
        <w:tc>
          <w:tcPr/>
          <w:p>
            <w:pPr>
              <w:pStyle w:val="Compact"/>
              <w:jc w:val="left"/>
            </w:pPr>
            <w:r>
              <w:t xml:space="preserve">Pérez y Benítez (2021)</w:t>
            </w:r>
          </w:p>
        </w:tc>
      </w:tr>
      <w:tr>
        <w:tc>
          <w:tcPr/>
          <w:p>
            <w:pPr>
              <w:pStyle w:val="Compact"/>
              <w:jc w:val="left"/>
            </w:pPr>
            <w:r>
              <w:t xml:space="preserve">Precisión en la clasificación y radicación automática de solicitudes</w:t>
            </w:r>
          </w:p>
        </w:tc>
        <w:tc>
          <w:tcPr/>
          <w:p>
            <w:pPr>
              <w:pStyle w:val="Compact"/>
              <w:jc w:val="left"/>
            </w:pPr>
            <w:r>
              <w:t xml:space="preserve">Dependiente del operador; no reportada</w:t>
            </w:r>
          </w:p>
        </w:tc>
        <w:tc>
          <w:tcPr/>
          <w:p>
            <w:pPr>
              <w:pStyle w:val="Compact"/>
              <w:jc w:val="left"/>
            </w:pPr>
            <w:r>
              <w:t xml:space="preserve">Superior al 95%</w:t>
            </w:r>
          </w:p>
        </w:tc>
        <w:tc>
          <w:tcPr/>
          <w:p>
            <w:pPr>
              <w:pStyle w:val="Compact"/>
              <w:jc w:val="left"/>
            </w:pPr>
            <w:r>
              <w:t xml:space="preserve">Automatización del registro con margen residual de excepción inferior al 5%</w:t>
            </w:r>
          </w:p>
        </w:tc>
        <w:tc>
          <w:tcPr/>
          <w:p>
            <w:pPr>
              <w:pStyle w:val="Compact"/>
              <w:jc w:val="left"/>
            </w:pPr>
            <w:r>
              <w:t xml:space="preserve">Gómez y Rodríguez (2023)</w:t>
            </w:r>
          </w:p>
        </w:tc>
      </w:tr>
      <w:tr>
        <w:tc>
          <w:tcPr/>
          <w:p>
            <w:pPr>
              <w:pStyle w:val="Compact"/>
              <w:jc w:val="left"/>
            </w:pPr>
            <w:r>
              <w:t xml:space="preserve">Tiempo laboral del personal administrativo ocupado en tareas repetitivas</w:t>
            </w:r>
          </w:p>
        </w:tc>
        <w:tc>
          <w:tcPr/>
          <w:p>
            <w:pPr>
              <w:pStyle w:val="Compact"/>
              <w:jc w:val="left"/>
            </w:pPr>
            <w:r>
              <w:t xml:space="preserve">Línea base de la operación manual</w:t>
            </w:r>
          </w:p>
        </w:tc>
        <w:tc>
          <w:tcPr/>
          <w:p>
            <w:pPr>
              <w:pStyle w:val="Compact"/>
              <w:jc w:val="left"/>
            </w:pPr>
            <w:r>
              <w:t xml:space="preserve">Hasta 40% del tiempo liberado</w:t>
            </w:r>
          </w:p>
        </w:tc>
        <w:tc>
          <w:tcPr/>
          <w:p>
            <w:pPr>
              <w:pStyle w:val="Compact"/>
              <w:jc w:val="left"/>
            </w:pPr>
            <w:r>
              <w:t xml:space="preserve">Reasignación de capacidad hacia atención directa y análisis estratégico</w:t>
            </w:r>
          </w:p>
        </w:tc>
        <w:tc>
          <w:tcPr/>
          <w:p>
            <w:pPr>
              <w:pStyle w:val="Compact"/>
              <w:jc w:val="left"/>
            </w:pPr>
            <w:r>
              <w:t xml:space="preserve">Martínez, López y Torres (2022)</w:t>
            </w:r>
          </w:p>
        </w:tc>
      </w:tr>
      <w:tr>
        <w:tc>
          <w:tcPr/>
          <w:p>
            <w:pPr>
              <w:pStyle w:val="Compact"/>
              <w:jc w:val="left"/>
            </w:pPr>
            <w:r>
              <w:t xml:space="preserve">Pérdida de unidades documentales</w:t>
            </w:r>
          </w:p>
        </w:tc>
        <w:tc>
          <w:tcPr/>
          <w:p>
            <w:pPr>
              <w:pStyle w:val="Compact"/>
              <w:jc w:val="left"/>
            </w:pPr>
            <w:r>
              <w:t xml:space="preserve">Presente en la operación manual</w:t>
            </w:r>
          </w:p>
        </w:tc>
        <w:tc>
          <w:tcPr/>
          <w:p>
            <w:pPr>
              <w:pStyle w:val="Compact"/>
              <w:jc w:val="left"/>
            </w:pPr>
            <w:r>
              <w:t xml:space="preserve">Nula en las dependencias evaluadas</w:t>
            </w:r>
          </w:p>
        </w:tc>
        <w:tc>
          <w:tcPr/>
          <w:p>
            <w:pPr>
              <w:pStyle w:val="Compact"/>
              <w:jc w:val="left"/>
            </w:pPr>
            <w:r>
              <w:t xml:space="preserve">Eliminación de la pérdida de expedientes</w:t>
            </w:r>
          </w:p>
        </w:tc>
        <w:tc>
          <w:tcPr/>
          <w:p>
            <w:pPr>
              <w:pStyle w:val="Compact"/>
              <w:jc w:val="left"/>
            </w:pPr>
            <w:r>
              <w:t xml:space="preserve">Martínez, López y Torres (2022)</w:t>
            </w:r>
          </w:p>
        </w:tc>
      </w:tr>
      <w:tr>
        <w:tc>
          <w:tcPr/>
          <w:p>
            <w:pPr>
              <w:pStyle w:val="Compact"/>
              <w:jc w:val="left"/>
            </w:pPr>
            <w:r>
              <w:t xml:space="preserve">Trazabilidad para control fiscal y disciplinario</w:t>
            </w:r>
          </w:p>
        </w:tc>
        <w:tc>
          <w:tcPr/>
          <w:p>
            <w:pPr>
              <w:pStyle w:val="Compact"/>
              <w:jc w:val="left"/>
            </w:pPr>
            <w:r>
              <w:t xml:space="preserve">Fragmentada y de reconstrucción manual</w:t>
            </w:r>
          </w:p>
        </w:tc>
        <w:tc>
          <w:tcPr/>
          <w:p>
            <w:pPr>
              <w:pStyle w:val="Compact"/>
              <w:jc w:val="left"/>
            </w:pPr>
            <w:r>
              <w:t xml:space="preserve">Registros de auditoría (</w:t>
            </w:r>
            <w:r>
              <w:rPr>
                <w:iCs/>
                <w:i/>
              </w:rPr>
              <w:t xml:space="preserve">logs</w:t>
            </w:r>
            <w:r>
              <w:t xml:space="preserve">) digitales e inmutables</w:t>
            </w:r>
          </w:p>
        </w:tc>
        <w:tc>
          <w:tcPr/>
          <w:p>
            <w:pPr>
              <w:pStyle w:val="Compact"/>
              <w:jc w:val="left"/>
            </w:pPr>
            <w:r>
              <w:t xml:space="preserve">Verificabilidad integral del acto administrativo</w:t>
            </w:r>
          </w:p>
        </w:tc>
        <w:tc>
          <w:tcPr/>
          <w:p>
            <w:pPr>
              <w:pStyle w:val="Compact"/>
              <w:jc w:val="left"/>
            </w:pPr>
            <w:r>
              <w:t xml:space="preserve">Silva y Fernández (2024)</w:t>
            </w:r>
          </w:p>
        </w:tc>
      </w:tr>
    </w:tbl>
    <w:p>
      <w:pPr>
        <w:pStyle w:val="BodyText"/>
      </w:pPr>
      <w:r>
        <w:rPr>
          <w:iCs/>
          <w:i/>
        </w:rPr>
        <w:t xml:space="preserve">Fuente: Elaboración propia a partir de la síntesis de los cuatro artículos indexados revisados (2021-2024). Cada cifra corresponde al valor reportado por la fuente indicada; no se incorporan estimaciones ajenas al corpus.</w:t>
      </w:r>
    </w:p>
    <w:p>
      <w:pPr>
        <w:pStyle w:val="BodyText"/>
      </w:pPr>
      <w:r>
        <w:t xml:space="preserve">De la lectura conjunta de la Tabla 2 se desprenden tres resultados agregados.</w:t>
      </w:r>
      <w:r>
        <w:t xml:space="preserve"> </w:t>
      </w:r>
      <w:r>
        <w:rPr>
          <w:bCs/>
          <w:b/>
        </w:rPr>
        <w:t xml:space="preserve">Primero</w:t>
      </w:r>
      <w:r>
        <w:t xml:space="preserve">, las mejoras documentadas no son incrementales sino de orden de magnitud: una reducción de cinco días hábiles a quince minutos representa un cambio en la naturaleza del proceso, no un ajuste de su rendimiento.</w:t>
      </w:r>
      <w:r>
        <w:t xml:space="preserve"> </w:t>
      </w:r>
      <w:r>
        <w:rPr>
          <w:bCs/>
          <w:b/>
        </w:rPr>
        <w:t xml:space="preserve">Segundo</w:t>
      </w:r>
      <w:r>
        <w:t xml:space="preserve">, los efectos sobre tiempo y sobre calidad son concurrentes y no sustitutivos, lo que contradice el supuesto administrativo tradicional de una relación inversa (</w:t>
      </w:r>
      <w:r>
        <w:rPr>
          <w:iCs/>
          <w:i/>
        </w:rPr>
        <w:t xml:space="preserve">trade-off</w:t>
      </w:r>
      <w:r>
        <w:t xml:space="preserve">) entre velocidad de respuesta y rigor en la verificación.</w:t>
      </w:r>
      <w:r>
        <w:t xml:space="preserve"> </w:t>
      </w:r>
      <w:r>
        <w:rPr>
          <w:bCs/>
          <w:b/>
        </w:rPr>
        <w:t xml:space="preserve">Tercero</w:t>
      </w:r>
      <w:r>
        <w:t xml:space="preserve">, el beneficio de trazabilidad reportado por Silva y Fernández (2024) opera en un plano distinto al de la eficiencia: no mejora el rendimiento del proceso, sino su verificabilidad, lo que constituye un resultado de naturaleza institucional antes que operativa.</w:t>
      </w:r>
    </w:p>
    <w:bookmarkEnd w:id="29"/>
    <w:bookmarkStart w:id="30" w:name="discusión"/>
    <w:p>
      <w:pPr>
        <w:pStyle w:val="Heading3"/>
      </w:pPr>
      <w:r>
        <w:t xml:space="preserve">3.2 Discusión</w:t>
      </w:r>
    </w:p>
    <w:p>
      <w:pPr>
        <w:pStyle w:val="FirstParagraph"/>
      </w:pPr>
      <w:r>
        <w:t xml:space="preserve">La interpretación de estos resultados permite avanzar tres líneas argumentales: la validación de un desplazamiento conceptual respecto de la digitalización pasiva, la relectura de la teoría clásica de la burocracia a la luz de la evidencia, y la delimitación crítica del alcance de los hallazgos.</w:t>
      </w:r>
    </w:p>
    <w:p>
      <w:pPr>
        <w:pStyle w:val="BodyText"/>
      </w:pPr>
      <w:r>
        <w:rPr>
          <w:bCs/>
          <w:b/>
        </w:rPr>
        <w:t xml:space="preserve">Superación de la digitalización pasiva.</w:t>
      </w:r>
      <w:r>
        <w:t xml:space="preserve"> </w:t>
      </w:r>
      <w:r>
        <w:t xml:space="preserve">Los resultados obtenidos permiten validar que la integración de RPA e IA supera las limitaciones de la digitalización meramente documental descrita en los antecedentes históricos de este trabajo. La evidencia de Gómez y Rodríguez (2023) resulta decisiva en este punto: el hecho de que un modelo de PLN alcance una exactitud superior al 95% en la interpretación de solicitudes implica que el documento deja de ser una imagen almacenada para convertirse en un objeto procesable. Esta transición confirma empíricamente la distinción teórica que van der Aalst, Bichler y Heinzl (2018) establecen entre la automatización de reglas deterministas sobre datos estructurados y la automatización cognitiva sobre contenido no estructurado: los hallazgos del corpus muestran que es precisamente la articulación de ambas capas —y no el RPA aislado— la que produce las reducciones de tiempo documentadas por Pérez y Benítez (2021). En consecuencia, la respuesta a la pregunta de investigación no es que el RPA y la IA mejoren la gestión documental de manera independiente y acumulativa, sino que su valor reside en una complementariedad funcional: la IA resuelve la interpretación del documento de entrada, condición sin la cual el bot no puede ejecutar la regla.</w:t>
      </w:r>
    </w:p>
    <w:p>
      <w:pPr>
        <w:pStyle w:val="BodyText"/>
      </w:pPr>
      <w:r>
        <w:rPr>
          <w:bCs/>
          <w:b/>
        </w:rPr>
        <w:t xml:space="preserve">Contraste con la teoría clásica de la burocracia.</w:t>
      </w:r>
      <w:r>
        <w:t xml:space="preserve"> </w:t>
      </w:r>
      <w:r>
        <w:t xml:space="preserve">Al confrontar los hallazgos con el modelo weberiano de la administración racional-legal, se observa un resultado que exige precisión analítica. Weber (1922/2014) caracterizó la burocracia por la jerarquía de competencias, la impersonalidad del acto administrativo, la sujeción a procedimientos formales escritos y la previsibilidad del resultado. La evidencia revisada no refuta este modelo, sino que muestra que la automatización radicaliza sus principios al tiempo que elimina su costo operativo: los registros de auditoría inmutables descritos por Silva y Fernández (2024) representan la forma más completa de documentación formal del acto administrativo que el modelo weberiano postula como ideal, y la ejecución algorítmica estandarizada maximiza la impersonalidad y la previsibilidad que Weber identificó como fuentes de la superioridad técnica de la burocracia. Lo que la automatización suprime no es la racionalidad burocrática, sino la lentitud del soporte material —el trámite físico— que históricamente se confundió con ella. Esta lectura es coherente con la tesis de Dunleavy, Margetts, Bastow y Tinkler (2006) sobre la gobernanza de la era digital, según la cual la digitalización de los procesos reemplaza a la fragmentación gerencial como eje de la reforma estatal: los resultados del corpus sugieren que la automatización documental opera como mecanismo de reintegración de procesos previamente dispersos entre dependencias.</w:t>
      </w:r>
    </w:p>
    <w:p>
      <w:pPr>
        <w:pStyle w:val="BodyText"/>
      </w:pPr>
      <w:r>
        <w:rPr>
          <w:bCs/>
          <w:b/>
        </w:rPr>
        <w:t xml:space="preserve">Condicionalidad de los resultados y contraste con la literatura crítica.</w:t>
      </w:r>
      <w:r>
        <w:t xml:space="preserve"> </w:t>
      </w:r>
      <w:r>
        <w:t xml:space="preserve">La interpretación de las magnitudes reportadas exige, sin embargo, una cautela que la propia literatura impone. Los hallazgos de Martínez, López y Torres (2022) indican que el factor limitante de la adopción es organizacional y no tecnológico, lo que implica que los porcentajes de mejora documentados deben leerse como resultados condicionados a la existencia de capacidades institucionales previas —gestión del cambio, interoperabilidad, competencias digitales del personal— y no como rendimientos garantizados por la tecnología. Esta conclusión converge con la revisión sistemática de Syed et al. (2020), que identifica la selección inadecuada de procesos candidatos y la ausencia de gobernanza de los bots como causas recurrentes de fracaso en iniciativas de RPA, y con la advertencia de Mehr (2017) y Wirtz, Weyerer y Geyer (2019) respecto de que la IA no resuelve los problemas sistémicos de la administración pública y puede amplificarlos cuando se implanta sin estrategia. Asimismo, el aporte de Silva y Fernández (2024) permite formular una interpretación que trasciende la suma de los resultados individuales: la automatización no elimina el riesgo administrativo sino que transforma su morfología, al sustituir un error humano disperso, variable y detectable caso por caso, por un error algorítmico sistemático, replicado a escala y de detección más difícil. Este desplazamiento justifica que la gobernanza de datos sea tratada como componente constitutivo de la solución y no como requisito accesorio.</w:t>
      </w:r>
    </w:p>
    <w:p>
      <w:pPr>
        <w:pStyle w:val="BodyText"/>
      </w:pPr>
      <w:r>
        <w:rPr>
          <w:bCs/>
          <w:b/>
        </w:rPr>
        <w:t xml:space="preserve">Limitaciones de la evidencia revisada.</w:t>
      </w:r>
      <w:r>
        <w:t xml:space="preserve"> </w:t>
      </w:r>
      <w:r>
        <w:t xml:space="preserve">Finalmente, es imperativo señalar las limitaciones identificadas en el corpus. La mayoría de los estudios se concentra en grandes urbes, ministerios nacionales o dependencias con capacidad presupuestal e infraestructura tecnológica consolidada, lo que introduce un sesgo de selección hacia contextos favorables a la implementación. Permanece abierta, por tanto, una brecha investigativa relevante respecto de la viabilidad de estas tecnologías en municipios de categoría menor o en zonas rurales con conectividad limitada, donde las condiciones que Martínez, López y Torres (2022) identifican como determinantes se cumplen de manera parcial o nula. A esta limitación se añade la heterogeneidad metodológica del corpus: solo uno de los cuatro estudios emplea un diseño longitudinal, de modo que las magnitudes reportadas por las fuentes cualitativas poseen validez analítica pero no inferencial. En consecuencia, los resultados de esta revisión deben interpretarse como evidencia convergente sobre la dirección del efecto de la automatización, y no como estimaciones puntuales generalizables a todo el universo de entidades públicas.</w:t>
      </w:r>
    </w:p>
    <w:bookmarkEnd w:id="30"/>
    <w:bookmarkEnd w:id="31"/>
    <w:bookmarkStart w:id="32" w:name="conclusiones"/>
    <w:p>
      <w:pPr>
        <w:pStyle w:val="Heading2"/>
      </w:pPr>
      <w:r>
        <w:t xml:space="preserve">4. Conclusiones</w:t>
      </w:r>
    </w:p>
    <w:p>
      <w:pPr>
        <w:numPr>
          <w:ilvl w:val="0"/>
          <w:numId w:val="1004"/>
        </w:numPr>
      </w:pPr>
      <w:r>
        <w:t xml:space="preserve">La evidencia revisada permite responder la pregunta de investigación en los siguientes términos: la implementación conjunta de RPA e IA optimiza la gestión documental mediante una complementariedad funcional, en la cual los modelos de interpretación documental resuelven la lectura del documento no estructurado y los robots de software ejecutan la regla administrativa subsiguiente. Los resultados analizados indican que es esta articulación, y no la adopción aislada de cada tecnología, la que explica las mejoras documentadas.</w:t>
      </w:r>
    </w:p>
    <w:p>
      <w:pPr>
        <w:numPr>
          <w:ilvl w:val="0"/>
          <w:numId w:val="1004"/>
        </w:numPr>
      </w:pPr>
      <w:r>
        <w:t xml:space="preserve">Las magnitudes reportadas por el corpus revisado corresponden a cambios de orden y no a mejoras marginales: la reducción del tiempo de procesamiento de cinco días hábiles a menos de quince minutos por lote y el descenso de la tasa de error de digitación desde un 12% hasta un margen insignificante (Pérez y Benítez, 2021), junto con la liberación de hasta el 40% del tiempo operativo del personal administrativo (Martínez, López y Torres, 2022) y una exactitud superior al 95% en la radicación automática de solicitudes (Gómez y Rodríguez, 2023), sustentan la afirmación de que la automatización transforma la naturaleza del proceso documental antes que su rendimiento.</w:t>
      </w:r>
    </w:p>
    <w:p>
      <w:pPr>
        <w:numPr>
          <w:ilvl w:val="0"/>
          <w:numId w:val="1004"/>
        </w:numPr>
      </w:pPr>
      <w:r>
        <w:t xml:space="preserve">Los efectos sobre la velocidad del trámite y sobre la calidad de los datos se presentan de forma concurrente en los estudios analizados, lo que permite concluir que, en los casos documentados, no se verificó la relación inversa entre celeridad y rigor de verificación que suele asumirse en la gestión administrativa manual.</w:t>
      </w:r>
    </w:p>
    <w:p>
      <w:pPr>
        <w:numPr>
          <w:ilvl w:val="0"/>
          <w:numId w:val="1004"/>
        </w:numPr>
      </w:pPr>
      <w:r>
        <w:t xml:space="preserve">La automatización documental produce un resultado de orden institucional adicional al operativo: la generación de registros de auditoría inmutables (Silva y Fernández, 2024) convierte la trazabilidad en una propiedad intrínseca del proceso, con lo cual el cumplimiento normativo ante los entes de control fiscal y disciplinario deja de depender de la reconstrucción documental posterior.</w:t>
      </w:r>
    </w:p>
    <w:p>
      <w:pPr>
        <w:numPr>
          <w:ilvl w:val="0"/>
          <w:numId w:val="1004"/>
        </w:numPr>
      </w:pPr>
      <w:r>
        <w:t xml:space="preserve">Conforme a la evidencia revisada, los beneficios identificados son condicionados y no automáticos. Dado que el factor limitante reportado es de naturaleza organizacional —resistencia al cambio y obsolescencia de sistemas legados (Martínez, López y Torres, 2022)—, se concluye que la adopción de estas tecnologías constituye una estrategia estructural de modernización que requiere inversión simultánea en gobernanza de datos y gestión del cambio, y no una erogación de carácter exclusivamente tecnológico.</w:t>
      </w:r>
    </w:p>
    <w:p>
      <w:pPr>
        <w:numPr>
          <w:ilvl w:val="0"/>
          <w:numId w:val="1004"/>
        </w:numPr>
      </w:pPr>
      <w:r>
        <w:t xml:space="preserve">Finalmente, y sin extrapolar más allá del alcance de las fuentes examinadas, se concluye que los hallazgos de esta revisión son válidos para entidades públicas de gran escala con infraestructura tecnológica consolidada, que constituyen el contexto predominante del corpus analizado. La viabilidad de estas tecnologías en municipios de categoría menor y territorios con conectividad limitada no puede afirmarse ni descartarse con base en la literatura revisada, y se identifica como la principal línea de investigación futura derivada de este trabajo.</w:t>
      </w:r>
    </w:p>
    <w:bookmarkEnd w:id="32"/>
    <w:bookmarkStart w:id="33" w:name="referencias"/>
    <w:p>
      <w:pPr>
        <w:pStyle w:val="Heading2"/>
      </w:pPr>
      <w:r>
        <w:t xml:space="preserve">Referencias</w:t>
      </w:r>
    </w:p>
    <w:p>
      <w:pPr>
        <w:pStyle w:val="FirstParagraph"/>
        <w:spacing w:after="120"/>
        <w:ind w:left="720" w:hanging="720"/>
      </w:pPr>
      <w:r>
        <w:t xml:space="preserve">Dunleavy, P., Margetts, H., Bastow, S., &amp; Tinkler, J. (2006). New public management is dead—Long live digital-era governance.</w:t>
      </w:r>
      <w:r>
        <w:t xml:space="preserve"> </w:t>
      </w:r>
      <w:r>
        <w:rPr>
          <w:iCs/>
          <w:i/>
        </w:rPr>
        <w:t xml:space="preserve">Journal of Public Administration Research and Theory, 16</w:t>
      </w:r>
      <w:r>
        <w:t xml:space="preserve">(3), 467-494. doi:10.1093/jopart/mui057</w:t>
      </w:r>
    </w:p>
    <w:p>
      <w:pPr>
        <w:pStyle w:val="BodyText"/>
        <w:spacing w:after="120"/>
        <w:ind w:left="720" w:hanging="720"/>
      </w:pPr>
      <w:r>
        <w:t xml:space="preserve">Gómez, R., &amp; Rodríguez, M. (2023). Inteligencia artificial y gestión documental avanzada en el sector estatal.</w:t>
      </w:r>
      <w:r>
        <w:t xml:space="preserve"> </w:t>
      </w:r>
      <w:r>
        <w:rPr>
          <w:iCs/>
          <w:i/>
        </w:rPr>
        <w:t xml:space="preserve">Revista de Innovación Tecnológica y Gestión Pública, 14</w:t>
      </w:r>
      <w:r>
        <w:t xml:space="preserve">(2), 45-62.</w:t>
      </w:r>
    </w:p>
    <w:p>
      <w:pPr>
        <w:pStyle w:val="BodyText"/>
        <w:spacing w:after="120"/>
        <w:ind w:left="720" w:hanging="720"/>
      </w:pPr>
      <w:r>
        <w:t xml:space="preserve">Lacity, M. C., &amp; Willcocks, L. P. (2016). Robotic process automation at Telefónica O2.</w:t>
      </w:r>
      <w:r>
        <w:t xml:space="preserve"> </w:t>
      </w:r>
      <w:r>
        <w:rPr>
          <w:iCs/>
          <w:i/>
        </w:rPr>
        <w:t xml:space="preserve">MIS Quarterly Executive, 15</w:t>
      </w:r>
      <w:r>
        <w:t xml:space="preserve">(1), 21-35. Recuperado de https://aisel.aisnet.org/misqe/vol15/iss1/4</w:t>
      </w:r>
    </w:p>
    <w:p>
      <w:pPr>
        <w:pStyle w:val="BodyText"/>
        <w:spacing w:after="120"/>
        <w:ind w:left="720" w:hanging="720"/>
      </w:pPr>
      <w:r>
        <w:t xml:space="preserve">Martínez, P., López, J., &amp; Torres, H. (2022). RPA y transformación digital en la administración pública: desafíos y oportunidades.</w:t>
      </w:r>
      <w:r>
        <w:t xml:space="preserve"> </w:t>
      </w:r>
      <w:r>
        <w:rPr>
          <w:iCs/>
          <w:i/>
        </w:rPr>
        <w:t xml:space="preserve">Gerencia y Sociedad del Conocimiento, 9</w:t>
      </w:r>
      <w:r>
        <w:t xml:space="preserve">(1), 112-130.</w:t>
      </w:r>
    </w:p>
    <w:p>
      <w:pPr>
        <w:pStyle w:val="BodyText"/>
        <w:spacing w:after="120"/>
        <w:ind w:left="720" w:hanging="720"/>
      </w:pPr>
      <w:r>
        <w:t xml:space="preserve">Mehr, H. (2017).</w:t>
      </w:r>
      <w:r>
        <w:t xml:space="preserve"> </w:t>
      </w:r>
      <w:r>
        <w:rPr>
          <w:iCs/>
          <w:i/>
        </w:rPr>
        <w:t xml:space="preserve">Artificial intelligence for citizen services and government</w:t>
      </w:r>
      <w:r>
        <w:t xml:space="preserve">. Cambridge, MA: Ash Center for Democratic Governance and Innovation, Harvard Kennedy School. Recuperado de https://ash.harvard.edu/files/ash/files/artificial_intelligence_for_citizen_services.pdf</w:t>
      </w:r>
    </w:p>
    <w:p>
      <w:pPr>
        <w:pStyle w:val="BodyText"/>
        <w:spacing w:after="120"/>
        <w:ind w:left="720" w:hanging="720"/>
      </w:pPr>
      <w:r>
        <w:t xml:space="preserve">Mergel, I., Edelmann, N., &amp; Haug, N. (2019). Defining digital transformation: Results from expert interviews.</w:t>
      </w:r>
      <w:r>
        <w:t xml:space="preserve"> </w:t>
      </w:r>
      <w:r>
        <w:rPr>
          <w:iCs/>
          <w:i/>
        </w:rPr>
        <w:t xml:space="preserve">Government Information Quarterly, 36</w:t>
      </w:r>
      <w:r>
        <w:t xml:space="preserve">(4), 101385. doi:10.1016/j.giq.2019.06.002</w:t>
      </w:r>
    </w:p>
    <w:p>
      <w:pPr>
        <w:pStyle w:val="BodyText"/>
        <w:spacing w:after="120"/>
        <w:ind w:left="720" w:hanging="720"/>
      </w:pPr>
      <w:r>
        <w:t xml:space="preserve">Pérez, L., &amp; Benítez, A. (2021). Impacto de la automatización robótica en la eficiencia administrativa y reducción de tiempos de trámite.</w:t>
      </w:r>
      <w:r>
        <w:t xml:space="preserve"> </w:t>
      </w:r>
      <w:r>
        <w:rPr>
          <w:iCs/>
          <w:i/>
        </w:rPr>
        <w:t xml:space="preserve">Revista Latinoamericana de Administración y Sistemas, 18</w:t>
      </w:r>
      <w:r>
        <w:t xml:space="preserve">(3), 89-104.</w:t>
      </w:r>
    </w:p>
    <w:p>
      <w:pPr>
        <w:pStyle w:val="BodyText"/>
        <w:spacing w:after="120"/>
        <w:ind w:left="720" w:hanging="720"/>
      </w:pPr>
      <w:r>
        <w:t xml:space="preserve">Silva, D., &amp; Fernández, C. (2024). Seguridad, gobernanza y transparencia en la automatización de procesos gubernamentales.</w:t>
      </w:r>
      <w:r>
        <w:t xml:space="preserve"> </w:t>
      </w:r>
      <w:r>
        <w:rPr>
          <w:iCs/>
          <w:i/>
        </w:rPr>
        <w:t xml:space="preserve">Cuadernos de Auditoría y Control Fiscal, 22</w:t>
      </w:r>
      <w:r>
        <w:t xml:space="preserve">(1), 77-95.</w:t>
      </w:r>
    </w:p>
    <w:p>
      <w:pPr>
        <w:pStyle w:val="BodyText"/>
        <w:spacing w:after="120"/>
        <w:ind w:left="720" w:hanging="720"/>
      </w:pPr>
      <w:r>
        <w:t xml:space="preserve">Syed, R., Suriadi, S., Adams, M., Bandara, W., Leemans, S. J. J., Ouyang, C., … Reijers, H. A. (2020). Robotic process automation: Contemporary themes and challenges.</w:t>
      </w:r>
      <w:r>
        <w:t xml:space="preserve"> </w:t>
      </w:r>
      <w:r>
        <w:rPr>
          <w:iCs/>
          <w:i/>
        </w:rPr>
        <w:t xml:space="preserve">Computers in Industry, 115</w:t>
      </w:r>
      <w:r>
        <w:t xml:space="preserve">, 103162. doi:10.1016/j.compind.2019.103162</w:t>
      </w:r>
    </w:p>
    <w:p>
      <w:pPr>
        <w:pStyle w:val="BodyText"/>
        <w:spacing w:after="120"/>
        <w:ind w:left="720" w:hanging="720"/>
      </w:pPr>
      <w:r>
        <w:t xml:space="preserve">van der Aalst, W. M. P., Bichler, M., &amp; Heinzl, A. (2018). Robotic process automation.</w:t>
      </w:r>
      <w:r>
        <w:t xml:space="preserve"> </w:t>
      </w:r>
      <w:r>
        <w:rPr>
          <w:iCs/>
          <w:i/>
        </w:rPr>
        <w:t xml:space="preserve">Business &amp; Information Systems Engineering, 60</w:t>
      </w:r>
      <w:r>
        <w:t xml:space="preserve">(4), 269-272. doi:10.1007/s12599-018-0542-4</w:t>
      </w:r>
    </w:p>
    <w:p>
      <w:pPr>
        <w:pStyle w:val="BodyText"/>
        <w:spacing w:after="120"/>
        <w:ind w:left="720" w:hanging="720"/>
      </w:pPr>
      <w:r>
        <w:t xml:space="preserve">Weber, M. (2014).</w:t>
      </w:r>
      <w:r>
        <w:t xml:space="preserve"> </w:t>
      </w:r>
      <w:r>
        <w:rPr>
          <w:iCs/>
          <w:i/>
        </w:rPr>
        <w:t xml:space="preserve">Economía y sociedad</w:t>
      </w:r>
      <w:r>
        <w:t xml:space="preserve"> </w:t>
      </w:r>
      <w:r>
        <w:t xml:space="preserve">(3a ed. rev., F. Gil Villegas, Ed.; J. Medina Echavarría et al., Trads.). México, D. F.: Fondo de Cultura Económica. (Obra original publicada en 1922)</w:t>
      </w:r>
    </w:p>
    <w:p>
      <w:pPr>
        <w:pStyle w:val="BodyText"/>
        <w:spacing w:after="120"/>
        <w:ind w:left="720" w:hanging="720"/>
      </w:pPr>
      <w:r>
        <w:t xml:space="preserve">Wirtz, B. W., Weyerer, J. C., &amp; Geyer, C. (2019). Artificial intelligence and the public sector—Applications and challenges.</w:t>
      </w:r>
      <w:r>
        <w:t xml:space="preserve"> </w:t>
      </w:r>
      <w:r>
        <w:rPr>
          <w:iCs/>
          <w:i/>
        </w:rPr>
        <w:t xml:space="preserve">International Journal of Public Administration, 42</w:t>
      </w:r>
      <w:r>
        <w:t xml:space="preserve">(7), 596-615.</w:t>
      </w:r>
    </w:p>
    <w:bookmarkEnd w:id="33"/>
    <w:bookmarkEnd w:id="34"/>
    <w:sectPr>
      <w:pgSz w:h="15840" w:orient="portrait" w:w="12240"/>
      <w:pgMar w:bottom="1440" w:footer="720" w:header="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hanging="360" w:left="144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hanging="360" w:left="21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hanging="360" w:left="288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hanging="360" w:left="360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hanging="360" w:left="432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hanging="360" w:left="504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hanging="360" w:left="57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hanging="360" w:left="648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Pr>
  </w:style>
  <w:style w:styleId="Table2" w:type="table">
    <w:basedOn w:val="TableNormal"/>
    <w:tblPr>
      <w:tblStyleRowBandSize w:val="1"/>
      <w:tblStyleColBandSize w:val="1"/>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2026-10-10T15:57:27Z</dcterms:created>
  <dcterms:modified xsi:type="dcterms:W3CDTF">2026-10-10T15:57:27Z</dcterms:modified>
</cp:coreProperties>
</file>

<file path=docProps/custom.xml><?xml version="1.0" encoding="utf-8"?>
<Properties xmlns="http://schemas.openxmlformats.org/officeDocument/2006/custom-properties" xmlns:vt="http://schemas.openxmlformats.org/officeDocument/2006/docPropsVTypes"/>
</file>