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58988253" w:rsidR="00050706" w:rsidRPr="00B4008E" w:rsidRDefault="001D1471" w:rsidP="00E42375">
            <w:pPr>
              <w:rPr>
                <w:b/>
              </w:rPr>
            </w:pPr>
            <w:r w:rsidRPr="001D1471">
              <w:rPr>
                <w:rFonts w:ascii="Calibri" w:hAnsi="Calibri" w:cs="Arial"/>
                <w:i/>
                <w:color w:val="548DD4"/>
                <w:sz w:val="20"/>
                <w:szCs w:val="20"/>
                <w:lang w:eastAsia="es-CL"/>
              </w:rPr>
              <w:t>Nexo360</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27CD5601" w:rsidR="00050706" w:rsidRPr="00B4008E" w:rsidRDefault="001D1471" w:rsidP="00050706">
            <w:pPr>
              <w:rPr>
                <w:b/>
              </w:rPr>
            </w:pPr>
            <w:r w:rsidRPr="001D1471">
              <w:rPr>
                <w:rFonts w:ascii="Calibri" w:hAnsi="Calibri" w:cs="Arial"/>
                <w:i/>
                <w:color w:val="548DD4"/>
                <w:sz w:val="20"/>
                <w:szCs w:val="20"/>
                <w:lang w:eastAsia="es-CL"/>
              </w:rPr>
              <w:t>Ingeniería de Software, Arquitectura de Sistemas y Gestión de Bases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1D1BA48F" w14:textId="77777777" w:rsidR="00050706" w:rsidRPr="001D1471" w:rsidRDefault="001D1471" w:rsidP="001D1471">
            <w:pPr>
              <w:pStyle w:val="Prrafodelista"/>
              <w:numPr>
                <w:ilvl w:val="0"/>
                <w:numId w:val="8"/>
              </w:numPr>
              <w:rPr>
                <w:b/>
              </w:rPr>
            </w:pPr>
            <w:r w:rsidRPr="001D1471">
              <w:rPr>
                <w:rFonts w:ascii="Calibri" w:hAnsi="Calibri" w:cs="Arial"/>
                <w:i/>
                <w:color w:val="548DD4"/>
                <w:sz w:val="20"/>
                <w:szCs w:val="20"/>
                <w:lang w:eastAsia="es-CL"/>
              </w:rPr>
              <w:t>Gestionar proyectos informáticos, ofreciendo alternativas para la toma de decisiones.</w:t>
            </w:r>
          </w:p>
          <w:p w14:paraId="6EFEB52C" w14:textId="3732A530" w:rsidR="001D1471" w:rsidRPr="001D1471" w:rsidRDefault="001D1471" w:rsidP="001D1471">
            <w:pPr>
              <w:pStyle w:val="Prrafodelista"/>
              <w:numPr>
                <w:ilvl w:val="0"/>
                <w:numId w:val="8"/>
              </w:numPr>
              <w:rPr>
                <w:b/>
              </w:rPr>
            </w:pPr>
            <w:r w:rsidRPr="001D1471">
              <w:rPr>
                <w:rFonts w:ascii="Calibri" w:hAnsi="Calibri" w:cs="Arial"/>
                <w:i/>
                <w:color w:val="548DD4"/>
                <w:sz w:val="20"/>
                <w:szCs w:val="20"/>
                <w:lang w:eastAsia="es-CL"/>
              </w:rPr>
              <w:t>Construir modelos de datos para soportar los requerimientos de la organización.</w:t>
            </w:r>
          </w:p>
          <w:p w14:paraId="3C795511" w14:textId="5049E9AE" w:rsidR="001D1471" w:rsidRPr="001D1471" w:rsidRDefault="001D1471" w:rsidP="001D1471">
            <w:pPr>
              <w:pStyle w:val="Prrafodelista"/>
              <w:numPr>
                <w:ilvl w:val="0"/>
                <w:numId w:val="8"/>
              </w:numPr>
              <w:rPr>
                <w:b/>
              </w:rPr>
            </w:pPr>
            <w:r w:rsidRPr="001D1471">
              <w:rPr>
                <w:rFonts w:ascii="Calibri" w:hAnsi="Calibri" w:cs="Arial"/>
                <w:i/>
                <w:color w:val="548DD4"/>
                <w:sz w:val="20"/>
                <w:szCs w:val="20"/>
                <w:lang w:eastAsia="es-CL"/>
              </w:rPr>
              <w:t>Desarrollar una solución de software utilizando técnicas que permitan sistematizar el proceso de desarrollo.</w:t>
            </w:r>
          </w:p>
          <w:p w14:paraId="2366AA78" w14:textId="136C44A3" w:rsidR="001D1471" w:rsidRPr="001D1471" w:rsidRDefault="001D1471" w:rsidP="001D1471">
            <w:pPr>
              <w:pStyle w:val="Prrafodelista"/>
              <w:numPr>
                <w:ilvl w:val="0"/>
                <w:numId w:val="8"/>
              </w:numPr>
              <w:rPr>
                <w:b/>
              </w:rPr>
            </w:pPr>
            <w:r w:rsidRPr="001D1471">
              <w:rPr>
                <w:rFonts w:ascii="Calibri" w:hAnsi="Calibri" w:cs="Arial"/>
                <w:i/>
                <w:color w:val="548DD4"/>
                <w:sz w:val="20"/>
                <w:szCs w:val="20"/>
                <w:lang w:eastAsia="es-CL"/>
              </w:rPr>
              <w:t>Realizar pruebas de certificación de productos utilizando buenas prácticas (WCAG 2.2).</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43D7C6B" w14:textId="02ED3A1C" w:rsidR="001202BF" w:rsidRPr="00B340E1" w:rsidRDefault="001D1471" w:rsidP="00C62521">
            <w:pPr>
              <w:pStyle w:val="Prrafodelista"/>
              <w:spacing w:after="0" w:line="240" w:lineRule="auto"/>
              <w:jc w:val="both"/>
              <w:rPr>
                <w:rFonts w:ascii="Calibri" w:hAnsi="Calibri" w:cs="Arial"/>
                <w:i/>
                <w:color w:val="0070C0"/>
                <w:sz w:val="18"/>
                <w:szCs w:val="20"/>
                <w:lang w:eastAsia="es-CL"/>
              </w:rPr>
            </w:pPr>
            <w:r w:rsidRPr="001D1471">
              <w:rPr>
                <w:rFonts w:ascii="Calibri" w:eastAsia="Times New Roman" w:hAnsi="Calibri" w:cs="Calibri"/>
                <w:i/>
                <w:iCs/>
                <w:color w:val="0070C0"/>
                <w:sz w:val="18"/>
                <w:szCs w:val="18"/>
                <w:lang w:eastAsia="es-CL"/>
              </w:rPr>
              <w:t xml:space="preserve">El proyecto Nexo360 soluciona el problema crítico de la </w:t>
            </w:r>
            <w:r w:rsidRPr="001D1471">
              <w:rPr>
                <w:rFonts w:ascii="Calibri" w:eastAsia="Times New Roman" w:hAnsi="Calibri" w:cs="Calibri"/>
                <w:b/>
                <w:bCs/>
                <w:i/>
                <w:iCs/>
                <w:color w:val="0070C0"/>
                <w:sz w:val="18"/>
                <w:szCs w:val="18"/>
                <w:lang w:eastAsia="es-CL"/>
              </w:rPr>
              <w:t>fragmentación digital</w:t>
            </w:r>
            <w:r w:rsidRPr="001D1471">
              <w:rPr>
                <w:rFonts w:ascii="Calibri" w:eastAsia="Times New Roman" w:hAnsi="Calibri" w:cs="Calibri"/>
                <w:i/>
                <w:iCs/>
                <w:color w:val="0070C0"/>
                <w:sz w:val="18"/>
                <w:szCs w:val="18"/>
                <w:lang w:eastAsia="es-CL"/>
              </w:rPr>
              <w:t xml:space="preserve"> en Duoc UC. Actualmente, servicios como las notas (Vivo Duoc) y las reservas (</w:t>
            </w:r>
            <w:proofErr w:type="spellStart"/>
            <w:r w:rsidRPr="001D1471">
              <w:rPr>
                <w:rFonts w:ascii="Calibri" w:eastAsia="Times New Roman" w:hAnsi="Calibri" w:cs="Calibri"/>
                <w:i/>
                <w:iCs/>
                <w:color w:val="0070C0"/>
                <w:sz w:val="18"/>
                <w:szCs w:val="18"/>
                <w:lang w:eastAsia="es-CL"/>
              </w:rPr>
              <w:t>LibCal</w:t>
            </w:r>
            <w:proofErr w:type="spellEnd"/>
            <w:r w:rsidRPr="001D1471">
              <w:rPr>
                <w:rFonts w:ascii="Calibri" w:eastAsia="Times New Roman" w:hAnsi="Calibri" w:cs="Calibri"/>
                <w:i/>
                <w:iCs/>
                <w:color w:val="0070C0"/>
                <w:sz w:val="18"/>
                <w:szCs w:val="18"/>
                <w:lang w:eastAsia="es-CL"/>
              </w:rPr>
              <w:t>) operan en ecosistemas separados con interfaces distintas. Esta situación afecta directamente y genera una alta carga cognitiva en los estudiantes del programa PAEDIS (discapacidad visual, motora o cognitiva), quienes pierden autonomía al enfrentarse a plataformas que no respetan estándares de accesibilidad ni navegación por teclado. Su relevancia radica en otorgar inclusión real: Nexo360 aporta valor al actuar como una capa centralizadora que unifica los trámites en una sola interfaz limpia, predecible y rigurosamente construida bajo la norma WCAG 2.2 AA, devolviéndole la independencia académica a los estudiantes con discapacidad.</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3ED8125D"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14:paraId="4664B824" w14:textId="77777777" w:rsidR="001D1471" w:rsidRDefault="001D1471" w:rsidP="00585A13">
            <w:pPr>
              <w:pStyle w:val="Prrafodelista"/>
              <w:jc w:val="both"/>
              <w:rPr>
                <w:rFonts w:ascii="Calibri" w:hAnsi="Calibri" w:cs="Arial"/>
                <w:i/>
                <w:color w:val="0070C0"/>
                <w:sz w:val="18"/>
                <w:szCs w:val="20"/>
                <w:lang w:eastAsia="es-CL"/>
              </w:rPr>
            </w:pPr>
            <w:r w:rsidRPr="001D1471">
              <w:rPr>
                <w:rFonts w:ascii="Calibri" w:hAnsi="Calibri" w:cs="Arial"/>
                <w:i/>
                <w:color w:val="0070C0"/>
                <w:sz w:val="18"/>
                <w:szCs w:val="20"/>
                <w:lang w:eastAsia="es-CL"/>
              </w:rPr>
              <w:lastRenderedPageBreak/>
              <w:t>Desarrollar una plataforma web centralizada e inclusiva (Nexo360) que unifique los servicios académicos de Duoc UC, garantizando la autonomía y usabilidad para estudiantes del programa PAEDIS</w:t>
            </w:r>
          </w:p>
          <w:p w14:paraId="0D5627E7" w14:textId="72A2EF34" w:rsidR="001D1471" w:rsidRDefault="001D1471"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Como objetivos específicos podemos mencionar los siguientes:</w:t>
            </w:r>
          </w:p>
          <w:p w14:paraId="0D4D3C01" w14:textId="77777777" w:rsidR="001D1471" w:rsidRDefault="001D1471" w:rsidP="001D1471">
            <w:pPr>
              <w:pStyle w:val="Prrafodelista"/>
              <w:numPr>
                <w:ilvl w:val="0"/>
                <w:numId w:val="9"/>
              </w:numPr>
              <w:jc w:val="both"/>
              <w:rPr>
                <w:rFonts w:ascii="Calibri" w:hAnsi="Calibri" w:cs="Arial"/>
                <w:i/>
                <w:color w:val="0070C0"/>
                <w:sz w:val="18"/>
                <w:szCs w:val="20"/>
                <w:lang w:eastAsia="es-CL"/>
              </w:rPr>
            </w:pPr>
            <w:r w:rsidRPr="001D1471">
              <w:rPr>
                <w:rFonts w:ascii="Calibri" w:hAnsi="Calibri" w:cs="Arial"/>
                <w:i/>
                <w:color w:val="0070C0"/>
                <w:sz w:val="18"/>
                <w:szCs w:val="20"/>
                <w:lang w:eastAsia="es-CL"/>
              </w:rPr>
              <w:t>Diseñar una interfaz de usuario (</w:t>
            </w:r>
            <w:proofErr w:type="spellStart"/>
            <w:r w:rsidRPr="001D1471">
              <w:rPr>
                <w:rFonts w:ascii="Calibri" w:hAnsi="Calibri" w:cs="Arial"/>
                <w:i/>
                <w:color w:val="0070C0"/>
                <w:sz w:val="18"/>
                <w:szCs w:val="20"/>
                <w:lang w:eastAsia="es-CL"/>
              </w:rPr>
              <w:t>Frontend</w:t>
            </w:r>
            <w:proofErr w:type="spellEnd"/>
            <w:r w:rsidRPr="001D1471">
              <w:rPr>
                <w:rFonts w:ascii="Calibri" w:hAnsi="Calibri" w:cs="Arial"/>
                <w:i/>
                <w:color w:val="0070C0"/>
                <w:sz w:val="18"/>
                <w:szCs w:val="20"/>
                <w:lang w:eastAsia="es-CL"/>
              </w:rPr>
              <w:t>) de alto contraste y 100% navegable por teclado.</w:t>
            </w:r>
          </w:p>
          <w:p w14:paraId="25434EEA" w14:textId="77777777" w:rsidR="001D1471" w:rsidRDefault="001D1471" w:rsidP="001D1471">
            <w:pPr>
              <w:pStyle w:val="Prrafodelista"/>
              <w:numPr>
                <w:ilvl w:val="0"/>
                <w:numId w:val="9"/>
              </w:numPr>
              <w:jc w:val="both"/>
              <w:rPr>
                <w:rFonts w:ascii="Calibri" w:hAnsi="Calibri" w:cs="Arial"/>
                <w:i/>
                <w:color w:val="0070C0"/>
                <w:sz w:val="18"/>
                <w:szCs w:val="20"/>
                <w:lang w:eastAsia="es-CL"/>
              </w:rPr>
            </w:pPr>
            <w:r w:rsidRPr="001D1471">
              <w:rPr>
                <w:rFonts w:ascii="Calibri" w:hAnsi="Calibri" w:cs="Arial"/>
                <w:i/>
                <w:color w:val="0070C0"/>
                <w:sz w:val="18"/>
                <w:szCs w:val="20"/>
                <w:lang w:eastAsia="es-CL"/>
              </w:rPr>
              <w:t xml:space="preserve">Construir una arquitectura </w:t>
            </w:r>
            <w:proofErr w:type="spellStart"/>
            <w:r w:rsidRPr="001D1471">
              <w:rPr>
                <w:rFonts w:ascii="Calibri" w:hAnsi="Calibri" w:cs="Arial"/>
                <w:i/>
                <w:color w:val="0070C0"/>
                <w:sz w:val="18"/>
                <w:szCs w:val="20"/>
                <w:lang w:eastAsia="es-CL"/>
              </w:rPr>
              <w:t>Backend</w:t>
            </w:r>
            <w:proofErr w:type="spellEnd"/>
            <w:r w:rsidRPr="001D1471">
              <w:rPr>
                <w:rFonts w:ascii="Calibri" w:hAnsi="Calibri" w:cs="Arial"/>
                <w:i/>
                <w:color w:val="0070C0"/>
                <w:sz w:val="18"/>
                <w:szCs w:val="20"/>
                <w:lang w:eastAsia="es-CL"/>
              </w:rPr>
              <w:t xml:space="preserve"> capaz de manejar respuestas asíncronas para no congelar la pantalla del usuario.</w:t>
            </w:r>
          </w:p>
          <w:p w14:paraId="11F0FC36" w14:textId="77777777" w:rsidR="001D1471" w:rsidRDefault="001D1471" w:rsidP="001D1471">
            <w:pPr>
              <w:pStyle w:val="Prrafodelista"/>
              <w:numPr>
                <w:ilvl w:val="0"/>
                <w:numId w:val="9"/>
              </w:numPr>
              <w:jc w:val="both"/>
              <w:rPr>
                <w:rFonts w:ascii="Calibri" w:hAnsi="Calibri" w:cs="Arial"/>
                <w:i/>
                <w:color w:val="0070C0"/>
                <w:sz w:val="18"/>
                <w:szCs w:val="20"/>
                <w:lang w:eastAsia="es-CL"/>
              </w:rPr>
            </w:pPr>
            <w:r w:rsidRPr="001D1471">
              <w:rPr>
                <w:rFonts w:ascii="Calibri" w:hAnsi="Calibri" w:cs="Arial"/>
                <w:i/>
                <w:color w:val="0070C0"/>
                <w:sz w:val="18"/>
                <w:szCs w:val="20"/>
                <w:lang w:eastAsia="es-CL"/>
              </w:rPr>
              <w:t xml:space="preserve">Simular e integrar flujos de automatización complejos (reserva de salas y Autenticación </w:t>
            </w:r>
            <w:proofErr w:type="spellStart"/>
            <w:r w:rsidRPr="001D1471">
              <w:rPr>
                <w:rFonts w:ascii="Calibri" w:hAnsi="Calibri" w:cs="Arial"/>
                <w:i/>
                <w:color w:val="0070C0"/>
                <w:sz w:val="18"/>
                <w:szCs w:val="20"/>
                <w:lang w:eastAsia="es-CL"/>
              </w:rPr>
              <w:t>Multifactor</w:t>
            </w:r>
            <w:proofErr w:type="spellEnd"/>
            <w:r w:rsidRPr="001D1471">
              <w:rPr>
                <w:rFonts w:ascii="Calibri" w:hAnsi="Calibri" w:cs="Arial"/>
                <w:i/>
                <w:color w:val="0070C0"/>
                <w:sz w:val="18"/>
                <w:szCs w:val="20"/>
                <w:lang w:eastAsia="es-CL"/>
              </w:rPr>
              <w:t>) mediante eventos en tiempo real (Server-</w:t>
            </w:r>
            <w:proofErr w:type="spellStart"/>
            <w:r w:rsidRPr="001D1471">
              <w:rPr>
                <w:rFonts w:ascii="Calibri" w:hAnsi="Calibri" w:cs="Arial"/>
                <w:i/>
                <w:color w:val="0070C0"/>
                <w:sz w:val="18"/>
                <w:szCs w:val="20"/>
                <w:lang w:eastAsia="es-CL"/>
              </w:rPr>
              <w:t>Sent</w:t>
            </w:r>
            <w:proofErr w:type="spellEnd"/>
            <w:r w:rsidRPr="001D1471">
              <w:rPr>
                <w:rFonts w:ascii="Calibri" w:hAnsi="Calibri" w:cs="Arial"/>
                <w:i/>
                <w:color w:val="0070C0"/>
                <w:sz w:val="18"/>
                <w:szCs w:val="20"/>
                <w:lang w:eastAsia="es-CL"/>
              </w:rPr>
              <w:t xml:space="preserve"> </w:t>
            </w:r>
            <w:proofErr w:type="spellStart"/>
            <w:r w:rsidRPr="001D1471">
              <w:rPr>
                <w:rFonts w:ascii="Calibri" w:hAnsi="Calibri" w:cs="Arial"/>
                <w:i/>
                <w:color w:val="0070C0"/>
                <w:sz w:val="18"/>
                <w:szCs w:val="20"/>
                <w:lang w:eastAsia="es-CL"/>
              </w:rPr>
              <w:t>Events</w:t>
            </w:r>
            <w:proofErr w:type="spellEnd"/>
            <w:r w:rsidRPr="001D1471">
              <w:rPr>
                <w:rFonts w:ascii="Calibri" w:hAnsi="Calibri" w:cs="Arial"/>
                <w:i/>
                <w:color w:val="0070C0"/>
                <w:sz w:val="18"/>
                <w:szCs w:val="20"/>
                <w:lang w:eastAsia="es-CL"/>
              </w:rPr>
              <w:t>)</w:t>
            </w:r>
          </w:p>
          <w:p w14:paraId="3F52E2FB" w14:textId="2DB3E3BA" w:rsidR="001D1471" w:rsidRPr="00B340E1" w:rsidRDefault="001D1471" w:rsidP="001D1471">
            <w:pPr>
              <w:pStyle w:val="Prrafodelista"/>
              <w:numPr>
                <w:ilvl w:val="0"/>
                <w:numId w:val="9"/>
              </w:numPr>
              <w:jc w:val="both"/>
              <w:rPr>
                <w:rFonts w:ascii="Calibri" w:hAnsi="Calibri" w:cs="Arial"/>
                <w:i/>
                <w:color w:val="0070C0"/>
                <w:sz w:val="18"/>
                <w:szCs w:val="20"/>
                <w:lang w:eastAsia="es-CL"/>
              </w:rPr>
            </w:pPr>
            <w:r w:rsidRPr="001D1471">
              <w:rPr>
                <w:rFonts w:ascii="Calibri" w:hAnsi="Calibri" w:cs="Arial"/>
                <w:i/>
                <w:color w:val="0070C0"/>
                <w:sz w:val="18"/>
                <w:szCs w:val="20"/>
                <w:lang w:eastAsia="es-CL"/>
              </w:rPr>
              <w:t>Implementar un modelo de datos escalable utilizando MongoDB.</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7FB1ACD3" w14:textId="02B53F37" w:rsidR="00F53E32" w:rsidRPr="00B340E1" w:rsidRDefault="00F53E32" w:rsidP="006B7645">
            <w:pPr>
              <w:ind w:left="720"/>
              <w:rPr>
                <w:rFonts w:ascii="Calibri" w:hAnsi="Calibri" w:cs="Arial"/>
                <w:i/>
                <w:color w:val="0070C0"/>
                <w:sz w:val="18"/>
                <w:szCs w:val="20"/>
                <w:lang w:eastAsia="es-CL"/>
              </w:rPr>
            </w:pPr>
            <w:r w:rsidRPr="00F53E32">
              <w:rPr>
                <w:rFonts w:ascii="Calibri" w:hAnsi="Calibri" w:cs="Arial"/>
                <w:i/>
                <w:color w:val="0070C0"/>
                <w:sz w:val="18"/>
                <w:szCs w:val="20"/>
                <w:lang w:eastAsia="es-CL"/>
              </w:rPr>
              <w:t xml:space="preserve">Utilizamos la </w:t>
            </w:r>
            <w:r w:rsidRPr="00F53E32">
              <w:rPr>
                <w:rFonts w:ascii="Calibri" w:hAnsi="Calibri" w:cs="Arial"/>
                <w:b/>
                <w:bCs/>
                <w:i/>
                <w:color w:val="0070C0"/>
                <w:sz w:val="18"/>
                <w:szCs w:val="20"/>
                <w:lang w:eastAsia="es-CL"/>
              </w:rPr>
              <w:t>Metodología Ágil (Scrum)</w:t>
            </w:r>
            <w:r w:rsidRPr="00F53E32">
              <w:rPr>
                <w:rFonts w:ascii="Calibri" w:hAnsi="Calibri" w:cs="Arial"/>
                <w:i/>
                <w:color w:val="0070C0"/>
                <w:sz w:val="18"/>
                <w:szCs w:val="20"/>
                <w:lang w:eastAsia="es-CL"/>
              </w:rPr>
              <w:t xml:space="preserve">, apoyada fuertemente por el control de versiones colaborativo en Git/GitHub. Las fases incluyeron: (1) Definición de </w:t>
            </w:r>
            <w:proofErr w:type="spellStart"/>
            <w:r w:rsidRPr="00F53E32">
              <w:rPr>
                <w:rFonts w:ascii="Calibri" w:hAnsi="Calibri" w:cs="Arial"/>
                <w:i/>
                <w:color w:val="0070C0"/>
                <w:sz w:val="18"/>
                <w:szCs w:val="20"/>
                <w:lang w:eastAsia="es-CL"/>
              </w:rPr>
              <w:t>Product</w:t>
            </w:r>
            <w:proofErr w:type="spellEnd"/>
            <w:r w:rsidRPr="00F53E32">
              <w:rPr>
                <w:rFonts w:ascii="Calibri" w:hAnsi="Calibri" w:cs="Arial"/>
                <w:i/>
                <w:color w:val="0070C0"/>
                <w:sz w:val="18"/>
                <w:szCs w:val="20"/>
                <w:lang w:eastAsia="es-CL"/>
              </w:rPr>
              <w:t xml:space="preserve"> Vision y Backlog; (2) Diseño de Arquitectura (UML); (3) </w:t>
            </w:r>
            <w:proofErr w:type="spellStart"/>
            <w:r w:rsidRPr="00F53E32">
              <w:rPr>
                <w:rFonts w:ascii="Calibri" w:hAnsi="Calibri" w:cs="Arial"/>
                <w:i/>
                <w:color w:val="0070C0"/>
                <w:sz w:val="18"/>
                <w:szCs w:val="20"/>
                <w:lang w:eastAsia="es-CL"/>
              </w:rPr>
              <w:t>Sprints</w:t>
            </w:r>
            <w:proofErr w:type="spellEnd"/>
            <w:r w:rsidRPr="00F53E32">
              <w:rPr>
                <w:rFonts w:ascii="Calibri" w:hAnsi="Calibri" w:cs="Arial"/>
                <w:i/>
                <w:color w:val="0070C0"/>
                <w:sz w:val="18"/>
                <w:szCs w:val="20"/>
                <w:lang w:eastAsia="es-CL"/>
              </w:rPr>
              <w:t xml:space="preserve"> de desarrollo divididos en </w:t>
            </w:r>
            <w:proofErr w:type="spellStart"/>
            <w:r w:rsidRPr="00F53E32">
              <w:rPr>
                <w:rFonts w:ascii="Calibri" w:hAnsi="Calibri" w:cs="Arial"/>
                <w:i/>
                <w:color w:val="0070C0"/>
                <w:sz w:val="18"/>
                <w:szCs w:val="20"/>
                <w:lang w:eastAsia="es-CL"/>
              </w:rPr>
              <w:t>Frontend</w:t>
            </w:r>
            <w:proofErr w:type="spellEnd"/>
            <w:r w:rsidRPr="00F53E32">
              <w:rPr>
                <w:rFonts w:ascii="Calibri" w:hAnsi="Calibri" w:cs="Arial"/>
                <w:i/>
                <w:color w:val="0070C0"/>
                <w:sz w:val="18"/>
                <w:szCs w:val="20"/>
                <w:lang w:eastAsia="es-CL"/>
              </w:rPr>
              <w:t xml:space="preserve"> y </w:t>
            </w:r>
            <w:proofErr w:type="spellStart"/>
            <w:r w:rsidRPr="00F53E32">
              <w:rPr>
                <w:rFonts w:ascii="Calibri" w:hAnsi="Calibri" w:cs="Arial"/>
                <w:i/>
                <w:color w:val="0070C0"/>
                <w:sz w:val="18"/>
                <w:szCs w:val="20"/>
                <w:lang w:eastAsia="es-CL"/>
              </w:rPr>
              <w:t>Backend</w:t>
            </w:r>
            <w:proofErr w:type="spellEnd"/>
            <w:r w:rsidRPr="00F53E32">
              <w:rPr>
                <w:rFonts w:ascii="Calibri" w:hAnsi="Calibri" w:cs="Arial"/>
                <w:i/>
                <w:color w:val="0070C0"/>
                <w:sz w:val="18"/>
                <w:szCs w:val="20"/>
                <w:lang w:eastAsia="es-CL"/>
              </w:rPr>
              <w:t>; y (4) Fase de pruebas y certificación.</w:t>
            </w:r>
          </w:p>
          <w:p w14:paraId="63AE3DA7" w14:textId="77777777" w:rsidR="001202BF"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p w14:paraId="396694F6" w14:textId="7CCD9E6A" w:rsidR="00F53E32" w:rsidRPr="00B340E1" w:rsidRDefault="00F53E32" w:rsidP="00946E78">
            <w:pPr>
              <w:ind w:left="720"/>
              <w:rPr>
                <w:rFonts w:ascii="Calibri" w:hAnsi="Calibri" w:cs="Arial"/>
                <w:i/>
                <w:color w:val="0070C0"/>
                <w:sz w:val="18"/>
                <w:szCs w:val="20"/>
                <w:lang w:eastAsia="es-CL"/>
              </w:rPr>
            </w:pPr>
            <w:r w:rsidRPr="00F53E32">
              <w:rPr>
                <w:rFonts w:ascii="Calibri" w:hAnsi="Calibri" w:cs="Arial"/>
                <w:i/>
                <w:color w:val="0070C0"/>
                <w:sz w:val="18"/>
                <w:szCs w:val="20"/>
                <w:lang w:eastAsia="es-CL"/>
              </w:rPr>
              <w:t xml:space="preserve">Scrum fue vital porque nos permitió iterar y pivotar rápidamente. Cuando descubrimos la imposibilidad de usar </w:t>
            </w:r>
            <w:proofErr w:type="spellStart"/>
            <w:r w:rsidRPr="00F53E32">
              <w:rPr>
                <w:rFonts w:ascii="Calibri" w:hAnsi="Calibri" w:cs="Arial"/>
                <w:i/>
                <w:color w:val="0070C0"/>
                <w:sz w:val="18"/>
                <w:szCs w:val="20"/>
                <w:lang w:eastAsia="es-CL"/>
              </w:rPr>
              <w:t>APIs</w:t>
            </w:r>
            <w:proofErr w:type="spellEnd"/>
            <w:r w:rsidRPr="00F53E32">
              <w:rPr>
                <w:rFonts w:ascii="Calibri" w:hAnsi="Calibri" w:cs="Arial"/>
                <w:i/>
                <w:color w:val="0070C0"/>
                <w:sz w:val="18"/>
                <w:szCs w:val="20"/>
                <w:lang w:eastAsia="es-CL"/>
              </w:rPr>
              <w:t xml:space="preserve"> institucionales de Duoc, la agilidad nos permitió cambiar la estrategia técnica a mitad del camino (hacia el uso de </w:t>
            </w:r>
            <w:proofErr w:type="spellStart"/>
            <w:r w:rsidRPr="00F53E32">
              <w:rPr>
                <w:rFonts w:ascii="Calibri" w:hAnsi="Calibri" w:cs="Arial"/>
                <w:i/>
                <w:iCs/>
                <w:color w:val="0070C0"/>
                <w:sz w:val="18"/>
                <w:szCs w:val="20"/>
                <w:lang w:eastAsia="es-CL"/>
              </w:rPr>
              <w:t>Mocks</w:t>
            </w:r>
            <w:proofErr w:type="spellEnd"/>
            <w:r w:rsidRPr="00F53E32">
              <w:rPr>
                <w:rFonts w:ascii="Calibri" w:hAnsi="Calibri" w:cs="Arial"/>
                <w:i/>
                <w:color w:val="0070C0"/>
                <w:sz w:val="18"/>
                <w:szCs w:val="20"/>
                <w:lang w:eastAsia="es-CL"/>
              </w:rPr>
              <w:t xml:space="preserve"> y SSE) sin paralizar el avance del proyecto ni alterar el alcance funcional para el usuario final.</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4810EE4A" w14:textId="6824D6FE" w:rsidR="00A56B54" w:rsidRDefault="007D2DC0" w:rsidP="00585A13">
            <w:pPr>
              <w:pStyle w:val="Prrafodelista"/>
              <w:jc w:val="both"/>
              <w:rPr>
                <w:rFonts w:ascii="Calibri" w:hAnsi="Calibri" w:cs="Arial"/>
                <w:i/>
                <w:color w:val="0070C0"/>
                <w:sz w:val="18"/>
                <w:szCs w:val="20"/>
                <w:lang w:eastAsia="es-CL"/>
              </w:rPr>
            </w:pPr>
            <w:r w:rsidRPr="007D2DC0">
              <w:rPr>
                <w:rFonts w:ascii="Calibri" w:hAnsi="Calibri" w:cs="Arial"/>
                <w:i/>
                <w:color w:val="0070C0"/>
                <w:sz w:val="18"/>
                <w:szCs w:val="20"/>
                <w:lang w:eastAsia="es-CL"/>
              </w:rPr>
              <w:t xml:space="preserve">Levantamiento de requisitos, modelado de arquitectura (diagramas UML), maquetación de componentes </w:t>
            </w:r>
            <w:proofErr w:type="spellStart"/>
            <w:r w:rsidRPr="007D2DC0">
              <w:rPr>
                <w:rFonts w:ascii="Calibri" w:hAnsi="Calibri" w:cs="Arial"/>
                <w:i/>
                <w:color w:val="0070C0"/>
                <w:sz w:val="18"/>
                <w:szCs w:val="20"/>
                <w:lang w:eastAsia="es-CL"/>
              </w:rPr>
              <w:t>React</w:t>
            </w:r>
            <w:proofErr w:type="spellEnd"/>
            <w:r w:rsidRPr="007D2DC0">
              <w:rPr>
                <w:rFonts w:ascii="Calibri" w:hAnsi="Calibri" w:cs="Arial"/>
                <w:i/>
                <w:color w:val="0070C0"/>
                <w:sz w:val="18"/>
                <w:szCs w:val="20"/>
                <w:lang w:eastAsia="es-CL"/>
              </w:rPr>
              <w:t>, desarrollo de servidor Node.js y pruebas de accesibilidad visual e integración</w:t>
            </w:r>
            <w:r>
              <w:rPr>
                <w:rFonts w:ascii="Calibri" w:hAnsi="Calibri" w:cs="Arial"/>
                <w:i/>
                <w:color w:val="0070C0"/>
                <w:sz w:val="18"/>
                <w:szCs w:val="20"/>
                <w:lang w:eastAsia="es-CL"/>
              </w:rPr>
              <w:t>.</w:t>
            </w:r>
          </w:p>
          <w:p w14:paraId="311B79D2" w14:textId="77777777" w:rsidR="007D2DC0" w:rsidRPr="00B340E1" w:rsidRDefault="007D2DC0" w:rsidP="00585A13">
            <w:pPr>
              <w:pStyle w:val="Prrafodelista"/>
              <w:jc w:val="both"/>
              <w:rPr>
                <w:rFonts w:ascii="Calibri" w:hAnsi="Calibri" w:cs="Arial"/>
                <w:i/>
                <w:color w:val="0070C0"/>
                <w:sz w:val="18"/>
                <w:szCs w:val="20"/>
                <w:lang w:eastAsia="es-CL"/>
              </w:rPr>
            </w:pP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2D1EC493" w14:textId="7D1A90BF" w:rsidR="007D2DC0" w:rsidRPr="00B340E1" w:rsidRDefault="007D2DC0" w:rsidP="00585A13">
            <w:pPr>
              <w:pStyle w:val="Prrafodelista"/>
              <w:jc w:val="both"/>
              <w:rPr>
                <w:rFonts w:ascii="Calibri" w:hAnsi="Calibri" w:cs="Arial"/>
                <w:i/>
                <w:color w:val="0070C0"/>
                <w:sz w:val="18"/>
                <w:szCs w:val="20"/>
                <w:lang w:eastAsia="es-CL"/>
              </w:rPr>
            </w:pPr>
            <w:r w:rsidRPr="007D2DC0">
              <w:rPr>
                <w:rFonts w:ascii="Calibri" w:hAnsi="Calibri" w:cs="Arial"/>
                <w:i/>
                <w:color w:val="0070C0"/>
                <w:sz w:val="18"/>
                <w:szCs w:val="20"/>
                <w:lang w:eastAsia="es-CL"/>
              </w:rPr>
              <w:t>El uso de un entorno Full-Stack en JavaScript (</w:t>
            </w:r>
            <w:proofErr w:type="spellStart"/>
            <w:r w:rsidRPr="007D2DC0">
              <w:rPr>
                <w:rFonts w:ascii="Calibri" w:hAnsi="Calibri" w:cs="Arial"/>
                <w:i/>
                <w:color w:val="0070C0"/>
                <w:sz w:val="18"/>
                <w:szCs w:val="20"/>
                <w:lang w:eastAsia="es-CL"/>
              </w:rPr>
              <w:t>React</w:t>
            </w:r>
            <w:proofErr w:type="spellEnd"/>
            <w:r w:rsidRPr="007D2DC0">
              <w:rPr>
                <w:rFonts w:ascii="Calibri" w:hAnsi="Calibri" w:cs="Arial"/>
                <w:i/>
                <w:color w:val="0070C0"/>
                <w:sz w:val="18"/>
                <w:szCs w:val="20"/>
                <w:lang w:eastAsia="es-CL"/>
              </w:rPr>
              <w:t>/Vite y Node.js) aceleró el desarrollo. Además, el uso riguroso de Git evitó pérdidas de código, y la sólida comunicación como equipo permitió complementar nuestras fortalezas frente a los imprevistos de salud y tiempo.</w:t>
            </w:r>
          </w:p>
          <w:p w14:paraId="12724B79" w14:textId="2914B051" w:rsidR="001202BF"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3EE56E51" w14:textId="7BDB787A" w:rsidR="007D2DC0" w:rsidRPr="00B340E1" w:rsidRDefault="007D2DC0" w:rsidP="00585A13">
            <w:pPr>
              <w:pStyle w:val="Prrafodelista"/>
              <w:jc w:val="both"/>
              <w:rPr>
                <w:rFonts w:ascii="Calibri" w:hAnsi="Calibri" w:cs="Arial"/>
                <w:i/>
                <w:color w:val="0070C0"/>
                <w:sz w:val="18"/>
                <w:szCs w:val="20"/>
                <w:lang w:eastAsia="es-CL"/>
              </w:rPr>
            </w:pPr>
            <w:r w:rsidRPr="007D2DC0">
              <w:rPr>
                <w:rFonts w:ascii="Calibri" w:hAnsi="Calibri" w:cs="Arial"/>
                <w:i/>
                <w:color w:val="0070C0"/>
                <w:sz w:val="18"/>
                <w:szCs w:val="20"/>
                <w:lang w:eastAsia="es-CL"/>
              </w:rPr>
              <w:t xml:space="preserve">Las barreras más críticas fueron la ausencia de </w:t>
            </w:r>
            <w:proofErr w:type="spellStart"/>
            <w:r w:rsidRPr="007D2DC0">
              <w:rPr>
                <w:rFonts w:ascii="Calibri" w:hAnsi="Calibri" w:cs="Arial"/>
                <w:i/>
                <w:color w:val="0070C0"/>
                <w:sz w:val="18"/>
                <w:szCs w:val="20"/>
                <w:lang w:eastAsia="es-CL"/>
              </w:rPr>
              <w:t>APIs</w:t>
            </w:r>
            <w:proofErr w:type="spellEnd"/>
            <w:r w:rsidRPr="007D2DC0">
              <w:rPr>
                <w:rFonts w:ascii="Calibri" w:hAnsi="Calibri" w:cs="Arial"/>
                <w:i/>
                <w:color w:val="0070C0"/>
                <w:sz w:val="18"/>
                <w:szCs w:val="20"/>
                <w:lang w:eastAsia="es-CL"/>
              </w:rPr>
              <w:t xml:space="preserve"> públicas en la institución y la inestabilidad técnica del entorno local al intentar ejecutar navegadores invisibles (</w:t>
            </w:r>
            <w:proofErr w:type="spellStart"/>
            <w:r w:rsidRPr="007D2DC0">
              <w:rPr>
                <w:rFonts w:ascii="Calibri" w:hAnsi="Calibri" w:cs="Arial"/>
                <w:i/>
                <w:color w:val="0070C0"/>
                <w:sz w:val="18"/>
                <w:szCs w:val="20"/>
                <w:lang w:eastAsia="es-CL"/>
              </w:rPr>
              <w:t>Puppeteer</w:t>
            </w:r>
            <w:proofErr w:type="spellEnd"/>
            <w:r w:rsidRPr="007D2DC0">
              <w:rPr>
                <w:rFonts w:ascii="Calibri" w:hAnsi="Calibri" w:cs="Arial"/>
                <w:i/>
                <w:color w:val="0070C0"/>
                <w:sz w:val="18"/>
                <w:szCs w:val="20"/>
                <w:lang w:eastAsia="es-CL"/>
              </w:rPr>
              <w:t>/</w:t>
            </w:r>
            <w:proofErr w:type="spellStart"/>
            <w:r w:rsidRPr="007D2DC0">
              <w:rPr>
                <w:rFonts w:ascii="Calibri" w:hAnsi="Calibri" w:cs="Arial"/>
                <w:i/>
                <w:color w:val="0070C0"/>
                <w:sz w:val="18"/>
                <w:szCs w:val="20"/>
                <w:lang w:eastAsia="es-CL"/>
              </w:rPr>
              <w:t>Chromium</w:t>
            </w:r>
            <w:proofErr w:type="spellEnd"/>
            <w:r w:rsidRPr="007D2DC0">
              <w:rPr>
                <w:rFonts w:ascii="Calibri" w:hAnsi="Calibri" w:cs="Arial"/>
                <w:i/>
                <w:color w:val="0070C0"/>
                <w:sz w:val="18"/>
                <w:szCs w:val="20"/>
                <w:lang w:eastAsia="es-CL"/>
              </w:rPr>
              <w:t>) para la automatización.</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246B617E" w14:textId="77777777" w:rsidR="001202BF"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p w14:paraId="59784A1A" w14:textId="2BE3DC68" w:rsidR="007D2DC0" w:rsidRPr="00B340E1" w:rsidRDefault="007D2DC0" w:rsidP="00585A13">
            <w:pPr>
              <w:ind w:left="720"/>
              <w:rPr>
                <w:rFonts w:ascii="Calibri" w:hAnsi="Calibri" w:cs="Arial"/>
                <w:i/>
                <w:color w:val="0070C0"/>
                <w:sz w:val="18"/>
                <w:szCs w:val="20"/>
                <w:lang w:eastAsia="es-CL"/>
              </w:rPr>
            </w:pPr>
            <w:r w:rsidRPr="007D2DC0">
              <w:rPr>
                <w:rFonts w:ascii="Calibri" w:hAnsi="Calibri" w:cs="Arial"/>
                <w:i/>
                <w:color w:val="0070C0"/>
                <w:sz w:val="18"/>
                <w:szCs w:val="20"/>
                <w:lang w:eastAsia="es-CL"/>
              </w:rPr>
              <w:t xml:space="preserve">Para asegurar que el Producto Mínimo Viable (MVP) cumpliera su objetivo en la demostración final, aplicamos </w:t>
            </w:r>
            <w:proofErr w:type="spellStart"/>
            <w:r w:rsidRPr="007D2DC0">
              <w:rPr>
                <w:rFonts w:ascii="Calibri" w:hAnsi="Calibri" w:cs="Arial"/>
                <w:i/>
                <w:iCs/>
                <w:color w:val="0070C0"/>
                <w:sz w:val="18"/>
                <w:szCs w:val="20"/>
                <w:lang w:eastAsia="es-CL"/>
              </w:rPr>
              <w:t>Mocking</w:t>
            </w:r>
            <w:proofErr w:type="spellEnd"/>
            <w:r w:rsidRPr="007D2DC0">
              <w:rPr>
                <w:rFonts w:ascii="Calibri" w:hAnsi="Calibri" w:cs="Arial"/>
                <w:i/>
                <w:color w:val="0070C0"/>
                <w:sz w:val="18"/>
                <w:szCs w:val="20"/>
                <w:lang w:eastAsia="es-CL"/>
              </w:rPr>
              <w:t xml:space="preserve"> (simulación de datos). Sustituimos el </w:t>
            </w:r>
            <w:proofErr w:type="spellStart"/>
            <w:r w:rsidRPr="007D2DC0">
              <w:rPr>
                <w:rFonts w:ascii="Calibri" w:hAnsi="Calibri" w:cs="Arial"/>
                <w:i/>
                <w:color w:val="0070C0"/>
                <w:sz w:val="18"/>
                <w:szCs w:val="20"/>
                <w:lang w:eastAsia="es-CL"/>
              </w:rPr>
              <w:t>bot</w:t>
            </w:r>
            <w:proofErr w:type="spellEnd"/>
            <w:r w:rsidRPr="007D2DC0">
              <w:rPr>
                <w:rFonts w:ascii="Calibri" w:hAnsi="Calibri" w:cs="Arial"/>
                <w:i/>
                <w:color w:val="0070C0"/>
                <w:sz w:val="18"/>
                <w:szCs w:val="20"/>
                <w:lang w:eastAsia="es-CL"/>
              </w:rPr>
              <w:t xml:space="preserve"> complejo por un </w:t>
            </w:r>
            <w:r w:rsidRPr="007D2DC0">
              <w:rPr>
                <w:rFonts w:ascii="Calibri" w:hAnsi="Calibri" w:cs="Arial"/>
                <w:i/>
                <w:iCs/>
                <w:color w:val="0070C0"/>
                <w:sz w:val="18"/>
                <w:szCs w:val="20"/>
                <w:lang w:eastAsia="es-CL"/>
              </w:rPr>
              <w:t>bypass</w:t>
            </w:r>
            <w:r w:rsidRPr="007D2DC0">
              <w:rPr>
                <w:rFonts w:ascii="Calibri" w:hAnsi="Calibri" w:cs="Arial"/>
                <w:i/>
                <w:color w:val="0070C0"/>
                <w:sz w:val="18"/>
                <w:szCs w:val="20"/>
                <w:lang w:eastAsia="es-CL"/>
              </w:rPr>
              <w:t xml:space="preserve"> de MFA en el </w:t>
            </w:r>
            <w:proofErr w:type="spellStart"/>
            <w:r w:rsidRPr="007D2DC0">
              <w:rPr>
                <w:rFonts w:ascii="Calibri" w:hAnsi="Calibri" w:cs="Arial"/>
                <w:i/>
                <w:color w:val="0070C0"/>
                <w:sz w:val="18"/>
                <w:szCs w:val="20"/>
                <w:lang w:eastAsia="es-CL"/>
              </w:rPr>
              <w:t>Frontend</w:t>
            </w:r>
            <w:proofErr w:type="spellEnd"/>
            <w:r w:rsidRPr="007D2DC0">
              <w:rPr>
                <w:rFonts w:ascii="Calibri" w:hAnsi="Calibri" w:cs="Arial"/>
                <w:i/>
                <w:color w:val="0070C0"/>
                <w:sz w:val="18"/>
                <w:szCs w:val="20"/>
                <w:lang w:eastAsia="es-CL"/>
              </w:rPr>
              <w:t xml:space="preserve"> y flujos de </w:t>
            </w:r>
            <w:r w:rsidRPr="007D2DC0">
              <w:rPr>
                <w:rFonts w:ascii="Calibri" w:hAnsi="Calibri" w:cs="Arial"/>
                <w:i/>
                <w:iCs/>
                <w:color w:val="0070C0"/>
                <w:sz w:val="18"/>
                <w:szCs w:val="20"/>
                <w:lang w:eastAsia="es-CL"/>
              </w:rPr>
              <w:t>Server-</w:t>
            </w:r>
            <w:proofErr w:type="spellStart"/>
            <w:r w:rsidRPr="007D2DC0">
              <w:rPr>
                <w:rFonts w:ascii="Calibri" w:hAnsi="Calibri" w:cs="Arial"/>
                <w:i/>
                <w:iCs/>
                <w:color w:val="0070C0"/>
                <w:sz w:val="18"/>
                <w:szCs w:val="20"/>
                <w:lang w:eastAsia="es-CL"/>
              </w:rPr>
              <w:t>Sent</w:t>
            </w:r>
            <w:proofErr w:type="spellEnd"/>
            <w:r w:rsidRPr="007D2DC0">
              <w:rPr>
                <w:rFonts w:ascii="Calibri" w:hAnsi="Calibri" w:cs="Arial"/>
                <w:i/>
                <w:iCs/>
                <w:color w:val="0070C0"/>
                <w:sz w:val="18"/>
                <w:szCs w:val="20"/>
                <w:lang w:eastAsia="es-CL"/>
              </w:rPr>
              <w:t xml:space="preserve"> </w:t>
            </w:r>
            <w:proofErr w:type="spellStart"/>
            <w:r w:rsidRPr="007D2DC0">
              <w:rPr>
                <w:rFonts w:ascii="Calibri" w:hAnsi="Calibri" w:cs="Arial"/>
                <w:i/>
                <w:iCs/>
                <w:color w:val="0070C0"/>
                <w:sz w:val="18"/>
                <w:szCs w:val="20"/>
                <w:lang w:eastAsia="es-CL"/>
              </w:rPr>
              <w:t>Events</w:t>
            </w:r>
            <w:proofErr w:type="spellEnd"/>
            <w:r w:rsidRPr="007D2DC0">
              <w:rPr>
                <w:rFonts w:ascii="Calibri" w:hAnsi="Calibri" w:cs="Arial"/>
                <w:i/>
                <w:color w:val="0070C0"/>
                <w:sz w:val="18"/>
                <w:szCs w:val="20"/>
                <w:lang w:eastAsia="es-CL"/>
              </w:rPr>
              <w:t xml:space="preserve"> simulados en el </w:t>
            </w:r>
            <w:proofErr w:type="spellStart"/>
            <w:r w:rsidRPr="007D2DC0">
              <w:rPr>
                <w:rFonts w:ascii="Calibri" w:hAnsi="Calibri" w:cs="Arial"/>
                <w:i/>
                <w:color w:val="0070C0"/>
                <w:sz w:val="18"/>
                <w:szCs w:val="20"/>
                <w:lang w:eastAsia="es-CL"/>
              </w:rPr>
              <w:t>Backend</w:t>
            </w:r>
            <w:proofErr w:type="spellEnd"/>
            <w:r w:rsidRPr="007D2DC0">
              <w:rPr>
                <w:rFonts w:ascii="Calibri" w:hAnsi="Calibri" w:cs="Arial"/>
                <w:i/>
                <w:color w:val="0070C0"/>
                <w:sz w:val="18"/>
                <w:szCs w:val="20"/>
                <w:lang w:eastAsia="es-CL"/>
              </w:rPr>
              <w:t xml:space="preserve">. Esto resolvió la barrera técnica, garantizando que la plataforma demuestre perfectamente el </w:t>
            </w:r>
            <w:proofErr w:type="spellStart"/>
            <w:r w:rsidRPr="007D2DC0">
              <w:rPr>
                <w:rFonts w:ascii="Calibri" w:hAnsi="Calibri" w:cs="Arial"/>
                <w:i/>
                <w:color w:val="0070C0"/>
                <w:sz w:val="18"/>
                <w:szCs w:val="20"/>
                <w:lang w:eastAsia="es-CL"/>
              </w:rPr>
              <w:t>feedback</w:t>
            </w:r>
            <w:proofErr w:type="spellEnd"/>
            <w:r w:rsidRPr="007D2DC0">
              <w:rPr>
                <w:rFonts w:ascii="Calibri" w:hAnsi="Calibri" w:cs="Arial"/>
                <w:i/>
                <w:color w:val="0070C0"/>
                <w:sz w:val="18"/>
                <w:szCs w:val="20"/>
                <w:lang w:eastAsia="es-CL"/>
              </w:rPr>
              <w:t xml:space="preserve"> visual y la accesibilidad sin depender de factores externos o de la red de la universidad.</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241A1580" w14:textId="77777777" w:rsidR="001202BF" w:rsidRDefault="001202BF" w:rsidP="00585A13">
            <w:pPr>
              <w:ind w:left="743"/>
              <w:rPr>
                <w:rFonts w:ascii="Calibri" w:hAnsi="Calibri" w:cs="Arial"/>
                <w:i/>
                <w:color w:val="0070C0"/>
                <w:sz w:val="18"/>
                <w:szCs w:val="20"/>
                <w:lang w:eastAsia="es-CL"/>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3FC573A1" w14:textId="77777777" w:rsidR="007D2DC0" w:rsidRDefault="007D2DC0" w:rsidP="007D2DC0">
            <w:pPr>
              <w:pStyle w:val="Prrafodelista"/>
              <w:numPr>
                <w:ilvl w:val="0"/>
                <w:numId w:val="10"/>
              </w:numPr>
              <w:rPr>
                <w:b/>
                <w:i/>
                <w:color w:val="0070C0"/>
                <w:sz w:val="18"/>
              </w:rPr>
            </w:pPr>
            <w:r w:rsidRPr="007D2DC0">
              <w:rPr>
                <w:b/>
                <w:bCs/>
                <w:i/>
                <w:color w:val="0070C0"/>
                <w:sz w:val="18"/>
              </w:rPr>
              <w:t>Documentación Fundacional:</w:t>
            </w:r>
            <w:r w:rsidRPr="007D2DC0">
              <w:rPr>
                <w:b/>
                <w:i/>
                <w:color w:val="0070C0"/>
                <w:sz w:val="18"/>
              </w:rPr>
              <w:t xml:space="preserve"> </w:t>
            </w:r>
            <w:proofErr w:type="spellStart"/>
            <w:r w:rsidRPr="007D2DC0">
              <w:rPr>
                <w:b/>
                <w:i/>
                <w:color w:val="0070C0"/>
                <w:sz w:val="18"/>
              </w:rPr>
              <w:t>Product</w:t>
            </w:r>
            <w:proofErr w:type="spellEnd"/>
            <w:r w:rsidRPr="007D2DC0">
              <w:rPr>
                <w:b/>
                <w:i/>
                <w:color w:val="0070C0"/>
                <w:sz w:val="18"/>
              </w:rPr>
              <w:t xml:space="preserve"> Vision, </w:t>
            </w:r>
            <w:proofErr w:type="spellStart"/>
            <w:r w:rsidRPr="007D2DC0">
              <w:rPr>
                <w:b/>
                <w:i/>
                <w:color w:val="0070C0"/>
                <w:sz w:val="18"/>
              </w:rPr>
              <w:t>Product</w:t>
            </w:r>
            <w:proofErr w:type="spellEnd"/>
            <w:r w:rsidRPr="007D2DC0">
              <w:rPr>
                <w:b/>
                <w:i/>
                <w:color w:val="0070C0"/>
                <w:sz w:val="18"/>
              </w:rPr>
              <w:t xml:space="preserve"> Backlog y </w:t>
            </w:r>
            <w:proofErr w:type="spellStart"/>
            <w:r w:rsidRPr="007D2DC0">
              <w:rPr>
                <w:b/>
                <w:i/>
                <w:color w:val="0070C0"/>
                <w:sz w:val="18"/>
              </w:rPr>
              <w:t>Definition</w:t>
            </w:r>
            <w:proofErr w:type="spellEnd"/>
            <w:r w:rsidRPr="007D2DC0">
              <w:rPr>
                <w:b/>
                <w:i/>
                <w:color w:val="0070C0"/>
                <w:sz w:val="18"/>
              </w:rPr>
              <w:t xml:space="preserve"> </w:t>
            </w:r>
            <w:proofErr w:type="spellStart"/>
            <w:r w:rsidRPr="007D2DC0">
              <w:rPr>
                <w:b/>
                <w:i/>
                <w:color w:val="0070C0"/>
                <w:sz w:val="18"/>
              </w:rPr>
              <w:t>of</w:t>
            </w:r>
            <w:proofErr w:type="spellEnd"/>
            <w:r w:rsidRPr="007D2DC0">
              <w:rPr>
                <w:b/>
                <w:i/>
                <w:color w:val="0070C0"/>
                <w:sz w:val="18"/>
              </w:rPr>
              <w:t xml:space="preserve"> Done</w:t>
            </w:r>
            <w:r>
              <w:rPr>
                <w:b/>
                <w:i/>
                <w:color w:val="0070C0"/>
                <w:sz w:val="18"/>
              </w:rPr>
              <w:t>.</w:t>
            </w:r>
          </w:p>
          <w:p w14:paraId="1D99CE35" w14:textId="77777777" w:rsidR="007D2DC0" w:rsidRDefault="007D2DC0" w:rsidP="007D2DC0">
            <w:pPr>
              <w:pStyle w:val="Prrafodelista"/>
              <w:numPr>
                <w:ilvl w:val="0"/>
                <w:numId w:val="10"/>
              </w:numPr>
              <w:rPr>
                <w:b/>
                <w:i/>
                <w:color w:val="0070C0"/>
                <w:sz w:val="18"/>
              </w:rPr>
            </w:pPr>
            <w:r w:rsidRPr="007D2DC0">
              <w:rPr>
                <w:b/>
                <w:bCs/>
                <w:i/>
                <w:color w:val="0070C0"/>
                <w:sz w:val="18"/>
              </w:rPr>
              <w:t>Documento de Diseño (Arquitectura):</w:t>
            </w:r>
            <w:r w:rsidRPr="007D2DC0">
              <w:rPr>
                <w:b/>
                <w:i/>
                <w:color w:val="0070C0"/>
                <w:sz w:val="18"/>
              </w:rPr>
              <w:t xml:space="preserve"> Contiene los diagramas de Casos de Uso, Entidad-Relación, Clases, Secuencia y Componentes (Vista Despliegue)</w:t>
            </w:r>
          </w:p>
          <w:p w14:paraId="48FC2B4C" w14:textId="77777777" w:rsidR="007D2DC0" w:rsidRDefault="007D2DC0" w:rsidP="007D2DC0">
            <w:pPr>
              <w:pStyle w:val="Prrafodelista"/>
              <w:numPr>
                <w:ilvl w:val="0"/>
                <w:numId w:val="10"/>
              </w:numPr>
              <w:rPr>
                <w:b/>
                <w:i/>
                <w:color w:val="0070C0"/>
                <w:sz w:val="18"/>
              </w:rPr>
            </w:pPr>
            <w:r w:rsidRPr="007D2DC0">
              <w:rPr>
                <w:b/>
                <w:bCs/>
                <w:i/>
                <w:color w:val="0070C0"/>
                <w:sz w:val="18"/>
              </w:rPr>
              <w:t>Código Fuente:</w:t>
            </w:r>
            <w:r w:rsidRPr="007D2DC0">
              <w:rPr>
                <w:b/>
                <w:i/>
                <w:color w:val="0070C0"/>
                <w:sz w:val="18"/>
              </w:rPr>
              <w:t xml:space="preserve"> Enlaces al repositorio en GitHub, evidenciando el trabajo colaborativo e historial de </w:t>
            </w:r>
            <w:proofErr w:type="spellStart"/>
            <w:r w:rsidRPr="007D2DC0">
              <w:rPr>
                <w:b/>
                <w:i/>
                <w:iCs/>
                <w:color w:val="0070C0"/>
                <w:sz w:val="18"/>
              </w:rPr>
              <w:t>commits</w:t>
            </w:r>
            <w:proofErr w:type="spellEnd"/>
            <w:r w:rsidRPr="007D2DC0">
              <w:rPr>
                <w:b/>
                <w:i/>
                <w:color w:val="0070C0"/>
                <w:sz w:val="18"/>
              </w:rPr>
              <w:t>.</w:t>
            </w:r>
          </w:p>
          <w:p w14:paraId="6743CCDD" w14:textId="4DB62BA6" w:rsidR="007D2DC0" w:rsidRPr="007D2DC0" w:rsidRDefault="007D2DC0" w:rsidP="007D2DC0">
            <w:pPr>
              <w:pStyle w:val="Prrafodelista"/>
              <w:numPr>
                <w:ilvl w:val="0"/>
                <w:numId w:val="10"/>
              </w:numPr>
              <w:rPr>
                <w:b/>
                <w:i/>
                <w:color w:val="0070C0"/>
                <w:sz w:val="18"/>
              </w:rPr>
            </w:pPr>
            <w:r w:rsidRPr="007D2DC0">
              <w:rPr>
                <w:b/>
                <w:bCs/>
                <w:i/>
                <w:color w:val="0070C0"/>
                <w:sz w:val="18"/>
              </w:rPr>
              <w:t>Material Audiovisual:</w:t>
            </w:r>
            <w:r w:rsidRPr="007D2DC0">
              <w:rPr>
                <w:b/>
                <w:i/>
                <w:color w:val="0070C0"/>
                <w:sz w:val="18"/>
              </w:rPr>
              <w:t xml:space="preserve"> Presentación de defensa (Slide </w:t>
            </w:r>
            <w:proofErr w:type="spellStart"/>
            <w:r w:rsidRPr="007D2DC0">
              <w:rPr>
                <w:b/>
                <w:i/>
                <w:color w:val="0070C0"/>
                <w:sz w:val="18"/>
              </w:rPr>
              <w:t>deck</w:t>
            </w:r>
            <w:proofErr w:type="spellEnd"/>
            <w:r w:rsidRPr="007D2DC0">
              <w:rPr>
                <w:b/>
                <w:i/>
                <w:color w:val="0070C0"/>
                <w:sz w:val="18"/>
              </w:rPr>
              <w:t>) y Video demostrativo evidenciando el funcionamiento fluido de la interfaz, la navegación accesible y el entorno de reserva simulado.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0FFB91B" w14:textId="77777777" w:rsidR="007D2DC0" w:rsidRDefault="007D2DC0" w:rsidP="00585A13">
            <w:pPr>
              <w:pStyle w:val="Prrafodelista"/>
              <w:jc w:val="both"/>
              <w:rPr>
                <w:rFonts w:ascii="Calibri" w:hAnsi="Calibri" w:cs="Arial"/>
                <w:i/>
                <w:color w:val="0070C0"/>
                <w:sz w:val="18"/>
                <w:szCs w:val="20"/>
                <w:lang w:eastAsia="es-CL"/>
              </w:rPr>
            </w:pPr>
          </w:p>
          <w:p w14:paraId="5AC5D3A5" w14:textId="12F16015" w:rsidR="007D2DC0" w:rsidRDefault="007D2DC0" w:rsidP="00585A13">
            <w:pPr>
              <w:pStyle w:val="Prrafodelista"/>
              <w:jc w:val="both"/>
              <w:rPr>
                <w:rFonts w:ascii="Calibri" w:hAnsi="Calibri" w:cs="Arial"/>
                <w:i/>
                <w:color w:val="0070C0"/>
                <w:sz w:val="18"/>
                <w:szCs w:val="20"/>
                <w:lang w:eastAsia="es-CL"/>
              </w:rPr>
            </w:pPr>
            <w:r w:rsidRPr="007D2DC0">
              <w:rPr>
                <w:rFonts w:ascii="Calibri" w:hAnsi="Calibri" w:cs="Arial"/>
                <w:i/>
                <w:color w:val="0070C0"/>
                <w:sz w:val="18"/>
                <w:szCs w:val="20"/>
                <w:lang w:eastAsia="es-CL"/>
              </w:rPr>
              <w:t xml:space="preserve">El desarrollo de Nexo360 nos permitió consolidar nuestra visión sobre cómo la tecnología debe estar verdaderamente al servicio de las personas. Como equipo, comprobamos que nuestros perfiles e intereses se complementan a la perfección: por un lado, reafirmamos nuestra pasión por la arquitectura de software, la resolución estratégica de bloqueos técnicos y el desarrollo </w:t>
            </w:r>
            <w:proofErr w:type="spellStart"/>
            <w:r w:rsidRPr="007D2DC0">
              <w:rPr>
                <w:rFonts w:ascii="Calibri" w:hAnsi="Calibri" w:cs="Arial"/>
                <w:i/>
                <w:color w:val="0070C0"/>
                <w:sz w:val="18"/>
                <w:szCs w:val="20"/>
                <w:lang w:eastAsia="es-CL"/>
              </w:rPr>
              <w:t>Backend</w:t>
            </w:r>
            <w:proofErr w:type="spellEnd"/>
            <w:r w:rsidRPr="007D2DC0">
              <w:rPr>
                <w:rFonts w:ascii="Calibri" w:hAnsi="Calibri" w:cs="Arial"/>
                <w:i/>
                <w:color w:val="0070C0"/>
                <w:sz w:val="18"/>
                <w:szCs w:val="20"/>
                <w:lang w:eastAsia="es-CL"/>
              </w:rPr>
              <w:t xml:space="preserve"> (como la adaptación a </w:t>
            </w:r>
            <w:proofErr w:type="spellStart"/>
            <w:r w:rsidRPr="007D2DC0">
              <w:rPr>
                <w:rFonts w:ascii="Calibri" w:hAnsi="Calibri" w:cs="Arial"/>
                <w:i/>
                <w:iCs/>
                <w:color w:val="0070C0"/>
                <w:sz w:val="18"/>
                <w:szCs w:val="20"/>
                <w:lang w:eastAsia="es-CL"/>
              </w:rPr>
              <w:t>Mocks</w:t>
            </w:r>
            <w:proofErr w:type="spellEnd"/>
            <w:r w:rsidRPr="007D2DC0">
              <w:rPr>
                <w:rFonts w:ascii="Calibri" w:hAnsi="Calibri" w:cs="Arial"/>
                <w:i/>
                <w:color w:val="0070C0"/>
                <w:sz w:val="18"/>
                <w:szCs w:val="20"/>
                <w:lang w:eastAsia="es-CL"/>
              </w:rPr>
              <w:t xml:space="preserve"> y Server-</w:t>
            </w:r>
            <w:proofErr w:type="spellStart"/>
            <w:r w:rsidRPr="007D2DC0">
              <w:rPr>
                <w:rFonts w:ascii="Calibri" w:hAnsi="Calibri" w:cs="Arial"/>
                <w:i/>
                <w:color w:val="0070C0"/>
                <w:sz w:val="18"/>
                <w:szCs w:val="20"/>
                <w:lang w:eastAsia="es-CL"/>
              </w:rPr>
              <w:t>Sent</w:t>
            </w:r>
            <w:proofErr w:type="spellEnd"/>
            <w:r w:rsidRPr="007D2DC0">
              <w:rPr>
                <w:rFonts w:ascii="Calibri" w:hAnsi="Calibri" w:cs="Arial"/>
                <w:i/>
                <w:color w:val="0070C0"/>
                <w:sz w:val="18"/>
                <w:szCs w:val="20"/>
                <w:lang w:eastAsia="es-CL"/>
              </w:rPr>
              <w:t xml:space="preserve"> </w:t>
            </w:r>
            <w:proofErr w:type="spellStart"/>
            <w:r w:rsidRPr="007D2DC0">
              <w:rPr>
                <w:rFonts w:ascii="Calibri" w:hAnsi="Calibri" w:cs="Arial"/>
                <w:i/>
                <w:color w:val="0070C0"/>
                <w:sz w:val="18"/>
                <w:szCs w:val="20"/>
                <w:lang w:eastAsia="es-CL"/>
              </w:rPr>
              <w:t>Events</w:t>
            </w:r>
            <w:proofErr w:type="spellEnd"/>
            <w:r w:rsidRPr="007D2DC0">
              <w:rPr>
                <w:rFonts w:ascii="Calibri" w:hAnsi="Calibri" w:cs="Arial"/>
                <w:i/>
                <w:color w:val="0070C0"/>
                <w:sz w:val="18"/>
                <w:szCs w:val="20"/>
                <w:lang w:eastAsia="es-CL"/>
              </w:rPr>
              <w:t>); y por otro, descubrimos un profundo interés en la gestión del producto, el aseguramiento de la calidad (QA) y la accesibilidad universal (WCAG 2.2). Luego de este proyecto, nuestros intereses profesionales no solo se mantienen, sino que han madurado. Ya no buscamos únicamente construir sistemas que funcionen técnicamente, sino crear soluciones de software que generen un impacto social real e inclusivo.</w:t>
            </w:r>
          </w:p>
          <w:p w14:paraId="2314C1A9" w14:textId="77777777" w:rsidR="007D2DC0" w:rsidRPr="00B340E1" w:rsidRDefault="007D2DC0" w:rsidP="00585A13">
            <w:pPr>
              <w:pStyle w:val="Prrafodelista"/>
              <w:jc w:val="both"/>
              <w:rPr>
                <w:rFonts w:ascii="Calibri" w:hAnsi="Calibri" w:cs="Arial"/>
                <w:i/>
                <w:color w:val="0070C0"/>
                <w:sz w:val="18"/>
                <w:szCs w:val="20"/>
                <w:lang w:eastAsia="es-CL"/>
              </w:rPr>
            </w:pP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4427015E" w14:textId="77777777" w:rsidR="007D2DC0"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¿Cómo te proyectas laboralmente después de haber terminado tu Proyecto APT?</w:t>
            </w:r>
          </w:p>
          <w:p w14:paraId="7ABBD543" w14:textId="77777777" w:rsidR="007D2DC0" w:rsidRDefault="007D2DC0" w:rsidP="00585A13">
            <w:pPr>
              <w:pStyle w:val="Prrafodelista"/>
              <w:jc w:val="both"/>
              <w:rPr>
                <w:rFonts w:ascii="Calibri" w:hAnsi="Calibri" w:cs="Arial"/>
                <w:i/>
                <w:color w:val="0070C0"/>
                <w:sz w:val="18"/>
                <w:szCs w:val="20"/>
                <w:lang w:eastAsia="es-CL"/>
              </w:rPr>
            </w:pPr>
          </w:p>
          <w:p w14:paraId="29E8CF0E" w14:textId="681B4F3D" w:rsidR="001202BF" w:rsidRPr="00B340E1" w:rsidRDefault="007D2DC0" w:rsidP="00585A13">
            <w:pPr>
              <w:pStyle w:val="Prrafodelista"/>
              <w:jc w:val="both"/>
              <w:rPr>
                <w:rFonts w:ascii="Calibri" w:hAnsi="Calibri" w:cs="Arial"/>
                <w:i/>
                <w:color w:val="0070C0"/>
                <w:sz w:val="18"/>
                <w:szCs w:val="20"/>
                <w:lang w:eastAsia="es-CL"/>
              </w:rPr>
            </w:pPr>
            <w:r w:rsidRPr="007D2DC0">
              <w:rPr>
                <w:rFonts w:ascii="Calibri" w:hAnsi="Calibri" w:cs="Arial"/>
                <w:i/>
                <w:color w:val="0070C0"/>
                <w:sz w:val="18"/>
                <w:szCs w:val="20"/>
                <w:lang w:eastAsia="es-CL"/>
              </w:rPr>
              <w:t>Nos gustaría seguir explorando y profundizando en el desarrollo de arquitecturas web resilientes, integración de estándares de accesibilidad digital y metodologías ágiles aplicadas a la gestión de productos tecnológicos. A partir de esta experiencia, nos proyectamos laboralmente asumiendo roles complementarios donde podamos liderar la creación de plataformas inclusivas: ya sea desde la ingeniería de software, el despliegue y la orquestación de sistemas complejos, o desde la gestión y diseño de productos enfocados en el usuario (</w:t>
            </w:r>
            <w:proofErr w:type="spellStart"/>
            <w:r w:rsidRPr="007D2DC0">
              <w:rPr>
                <w:rFonts w:ascii="Calibri" w:hAnsi="Calibri" w:cs="Arial"/>
                <w:i/>
                <w:color w:val="0070C0"/>
                <w:sz w:val="18"/>
                <w:szCs w:val="20"/>
                <w:lang w:eastAsia="es-CL"/>
              </w:rPr>
              <w:t>Product</w:t>
            </w:r>
            <w:proofErr w:type="spellEnd"/>
            <w:r w:rsidRPr="007D2DC0">
              <w:rPr>
                <w:rFonts w:ascii="Calibri" w:hAnsi="Calibri" w:cs="Arial"/>
                <w:i/>
                <w:color w:val="0070C0"/>
                <w:sz w:val="18"/>
                <w:szCs w:val="20"/>
                <w:lang w:eastAsia="es-CL"/>
              </w:rPr>
              <w:t xml:space="preserve"> Management), asegurando en nuestro futuro profesional que la tecnología siempre actúe como un puente y no como una barrera.</w:t>
            </w:r>
            <w:r w:rsidR="001202BF" w:rsidRPr="00B340E1">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55F04" w14:textId="77777777" w:rsidR="00ED26D4" w:rsidRDefault="00ED26D4" w:rsidP="00EE1135">
      <w:pPr>
        <w:spacing w:after="0" w:line="240" w:lineRule="auto"/>
      </w:pPr>
      <w:r>
        <w:separator/>
      </w:r>
    </w:p>
  </w:endnote>
  <w:endnote w:type="continuationSeparator" w:id="0">
    <w:p w14:paraId="6EFD66D2" w14:textId="77777777" w:rsidR="00ED26D4" w:rsidRDefault="00ED26D4"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F64A" w14:textId="77777777" w:rsidR="00ED26D4" w:rsidRDefault="00ED26D4" w:rsidP="00EE1135">
      <w:pPr>
        <w:spacing w:after="0" w:line="240" w:lineRule="auto"/>
      </w:pPr>
      <w:r>
        <w:separator/>
      </w:r>
    </w:p>
  </w:footnote>
  <w:footnote w:type="continuationSeparator" w:id="0">
    <w:p w14:paraId="0400A9F0" w14:textId="77777777" w:rsidR="00ED26D4" w:rsidRDefault="00ED26D4"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4CCD"/>
    <w:multiLevelType w:val="hybridMultilevel"/>
    <w:tmpl w:val="3BDCF8A6"/>
    <w:lvl w:ilvl="0" w:tplc="580A000B">
      <w:start w:val="1"/>
      <w:numFmt w:val="bullet"/>
      <w:lvlText w:val=""/>
      <w:lvlJc w:val="left"/>
      <w:pPr>
        <w:ind w:left="1463" w:hanging="360"/>
      </w:pPr>
      <w:rPr>
        <w:rFonts w:ascii="Wingdings" w:hAnsi="Wingdings" w:hint="default"/>
      </w:rPr>
    </w:lvl>
    <w:lvl w:ilvl="1" w:tplc="580A0003" w:tentative="1">
      <w:start w:val="1"/>
      <w:numFmt w:val="bullet"/>
      <w:lvlText w:val="o"/>
      <w:lvlJc w:val="left"/>
      <w:pPr>
        <w:ind w:left="2183" w:hanging="360"/>
      </w:pPr>
      <w:rPr>
        <w:rFonts w:ascii="Courier New" w:hAnsi="Courier New" w:cs="Courier New" w:hint="default"/>
      </w:rPr>
    </w:lvl>
    <w:lvl w:ilvl="2" w:tplc="580A0005" w:tentative="1">
      <w:start w:val="1"/>
      <w:numFmt w:val="bullet"/>
      <w:lvlText w:val=""/>
      <w:lvlJc w:val="left"/>
      <w:pPr>
        <w:ind w:left="2903" w:hanging="360"/>
      </w:pPr>
      <w:rPr>
        <w:rFonts w:ascii="Wingdings" w:hAnsi="Wingdings" w:hint="default"/>
      </w:rPr>
    </w:lvl>
    <w:lvl w:ilvl="3" w:tplc="580A0001" w:tentative="1">
      <w:start w:val="1"/>
      <w:numFmt w:val="bullet"/>
      <w:lvlText w:val=""/>
      <w:lvlJc w:val="left"/>
      <w:pPr>
        <w:ind w:left="3623" w:hanging="360"/>
      </w:pPr>
      <w:rPr>
        <w:rFonts w:ascii="Symbol" w:hAnsi="Symbol" w:hint="default"/>
      </w:rPr>
    </w:lvl>
    <w:lvl w:ilvl="4" w:tplc="580A0003" w:tentative="1">
      <w:start w:val="1"/>
      <w:numFmt w:val="bullet"/>
      <w:lvlText w:val="o"/>
      <w:lvlJc w:val="left"/>
      <w:pPr>
        <w:ind w:left="4343" w:hanging="360"/>
      </w:pPr>
      <w:rPr>
        <w:rFonts w:ascii="Courier New" w:hAnsi="Courier New" w:cs="Courier New" w:hint="default"/>
      </w:rPr>
    </w:lvl>
    <w:lvl w:ilvl="5" w:tplc="580A0005" w:tentative="1">
      <w:start w:val="1"/>
      <w:numFmt w:val="bullet"/>
      <w:lvlText w:val=""/>
      <w:lvlJc w:val="left"/>
      <w:pPr>
        <w:ind w:left="5063" w:hanging="360"/>
      </w:pPr>
      <w:rPr>
        <w:rFonts w:ascii="Wingdings" w:hAnsi="Wingdings" w:hint="default"/>
      </w:rPr>
    </w:lvl>
    <w:lvl w:ilvl="6" w:tplc="580A0001" w:tentative="1">
      <w:start w:val="1"/>
      <w:numFmt w:val="bullet"/>
      <w:lvlText w:val=""/>
      <w:lvlJc w:val="left"/>
      <w:pPr>
        <w:ind w:left="5783" w:hanging="360"/>
      </w:pPr>
      <w:rPr>
        <w:rFonts w:ascii="Symbol" w:hAnsi="Symbol" w:hint="default"/>
      </w:rPr>
    </w:lvl>
    <w:lvl w:ilvl="7" w:tplc="580A0003" w:tentative="1">
      <w:start w:val="1"/>
      <w:numFmt w:val="bullet"/>
      <w:lvlText w:val="o"/>
      <w:lvlJc w:val="left"/>
      <w:pPr>
        <w:ind w:left="6503" w:hanging="360"/>
      </w:pPr>
      <w:rPr>
        <w:rFonts w:ascii="Courier New" w:hAnsi="Courier New" w:cs="Courier New" w:hint="default"/>
      </w:rPr>
    </w:lvl>
    <w:lvl w:ilvl="8" w:tplc="580A0005" w:tentative="1">
      <w:start w:val="1"/>
      <w:numFmt w:val="bullet"/>
      <w:lvlText w:val=""/>
      <w:lvlJc w:val="left"/>
      <w:pPr>
        <w:ind w:left="7223"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11724D1"/>
    <w:multiLevelType w:val="hybridMultilevel"/>
    <w:tmpl w:val="2DEAC04A"/>
    <w:lvl w:ilvl="0" w:tplc="580A000B">
      <w:start w:val="1"/>
      <w:numFmt w:val="bullet"/>
      <w:lvlText w:val=""/>
      <w:lvlJc w:val="left"/>
      <w:pPr>
        <w:ind w:left="1440" w:hanging="360"/>
      </w:pPr>
      <w:rPr>
        <w:rFonts w:ascii="Wingdings" w:hAnsi="Wingdings"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3A37D0D"/>
    <w:multiLevelType w:val="hybridMultilevel"/>
    <w:tmpl w:val="94A4E07E"/>
    <w:lvl w:ilvl="0" w:tplc="5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4D63038"/>
    <w:multiLevelType w:val="hybridMultilevel"/>
    <w:tmpl w:val="3D9E365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931700040">
    <w:abstractNumId w:val="1"/>
  </w:num>
  <w:num w:numId="2" w16cid:durableId="1216434291">
    <w:abstractNumId w:val="4"/>
  </w:num>
  <w:num w:numId="3" w16cid:durableId="776369636">
    <w:abstractNumId w:val="9"/>
  </w:num>
  <w:num w:numId="4" w16cid:durableId="1577737810">
    <w:abstractNumId w:val="3"/>
  </w:num>
  <w:num w:numId="5" w16cid:durableId="94641853">
    <w:abstractNumId w:val="6"/>
  </w:num>
  <w:num w:numId="6" w16cid:durableId="831217694">
    <w:abstractNumId w:val="8"/>
  </w:num>
  <w:num w:numId="7" w16cid:durableId="1624775376">
    <w:abstractNumId w:val="7"/>
  </w:num>
  <w:num w:numId="8" w16cid:durableId="565343081">
    <w:abstractNumId w:val="5"/>
  </w:num>
  <w:num w:numId="9" w16cid:durableId="80611345">
    <w:abstractNumId w:val="2"/>
  </w:num>
  <w:num w:numId="10" w16cid:durableId="1650205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1D1471"/>
    <w:rsid w:val="002541D2"/>
    <w:rsid w:val="00296D71"/>
    <w:rsid w:val="00385BEA"/>
    <w:rsid w:val="003A0263"/>
    <w:rsid w:val="003A30A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7D2DC0"/>
    <w:rsid w:val="008539F6"/>
    <w:rsid w:val="009378F7"/>
    <w:rsid w:val="00946E78"/>
    <w:rsid w:val="00960A7F"/>
    <w:rsid w:val="009A3C06"/>
    <w:rsid w:val="00A076F3"/>
    <w:rsid w:val="00A56B54"/>
    <w:rsid w:val="00B0399B"/>
    <w:rsid w:val="00B340E1"/>
    <w:rsid w:val="00B4008E"/>
    <w:rsid w:val="00C62521"/>
    <w:rsid w:val="00D22182"/>
    <w:rsid w:val="00D608E0"/>
    <w:rsid w:val="00D67975"/>
    <w:rsid w:val="00EA634D"/>
    <w:rsid w:val="00EC0499"/>
    <w:rsid w:val="00ED1FE6"/>
    <w:rsid w:val="00ED26D4"/>
    <w:rsid w:val="00ED6772"/>
    <w:rsid w:val="00EE1135"/>
    <w:rsid w:val="00EE252E"/>
    <w:rsid w:val="00F00EC8"/>
    <w:rsid w:val="00F4618C"/>
    <w:rsid w:val="00F53E32"/>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1241</Words>
  <Characters>6830</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Cristian David Guzman Garcia</cp:lastModifiedBy>
  <cp:revision>10</cp:revision>
  <dcterms:created xsi:type="dcterms:W3CDTF">2022-08-24T18:22:00Z</dcterms:created>
  <dcterms:modified xsi:type="dcterms:W3CDTF">2026-10-19T19:13:00Z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