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607d8b"/>
          <w:sz w:val="20"/>
          <w:szCs w:val="20"/>
        </w:rPr>
        <w:t xml:space="preserve">Projeto CASNAV/DMarSup — Termo 66/2025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565c0"/>
          <w:sz w:val="30"/>
          <w:szCs w:val="30"/>
        </w:rPr>
        <w:t xml:space="preserve">Detecção de Embarcações — Aumento de Dados Cross-Domain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07d8b"/>
          <w:sz w:val="22"/>
          <w:szCs w:val="22"/>
        </w:rPr>
        <w:t xml:space="preserve">Relatório de resultados e proposta de próximo experimento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1. Retrospectiva — o experimento do artigo (SIBGRAPI 2026)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 sistema de detecção da Marinha é treinado sobre o CITRA-3D-Real, um conjunto operacional restrito e pequeno (2.081 imagens). A pergunta de partida foi: podemos aumentar esse conjunto com imagens públicas de embarcações para o modelo acertar mais?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resposta do primeiro estudo foi contra-intuitiva e virou o título do artigo: "semelhança visual não basta". Usar um dataset público grande e visualmente parecido (InaTechShips) por pré-treino direto PIOROU o modelo — uma transferência negativa de −4,15 pontos. A causa não é a aparência, e sim a incompatibilidade estrutural: as embarcações do CITRA são minúsculas (0,1% da imagem) e as do InaTechShips são enormes (54%).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</w:rPr>
        <w:t xml:space="preserve">A solução que funcionou foi a composição sintética in-place: recortar a embarcação pública (com o modelo SAM) e colá-la na cena operacional, na posição e escala de uma embarcação real. Treinando o CITRA junto com essas imagens sintéticas (regime "joint"), o ganho foi de +1,00 ponto — revertendo a transferência negativa. A conclusão do artigo: o que prediz a utilidade de uma fonte é a compatibilidade estrutural, e a síntese domain-adapted é o mecanismo que a aproveita.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2. O experimento atual — a fonte estruturalmente próxima (ABOShips)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 artigo usou uma única fonte, distante. A extensão adiciona uma segunda fonte, ABOShips, que é estruturalmente PRÓXIMA do CITRA (distância 0,95, contra a distância muito maior do InaTechShips). Isso permite responder a uma pergunta nova: a estratégia de aumento depende de COMO a fonte é usada — como imagem sintética ou como dado real?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Comparamos quatro estratégias (cada uma com 3 repetições para robustez estatística):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B2 — linha de base: só o CITRA (sem aumento).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2e7d32"/>
          <w:sz w:val="22"/>
          <w:szCs w:val="22"/>
        </w:rPr>
        <w:t xml:space="preserve">A_joint_ABO — CITRA + imagens SINTÉTICAS do ABOShips (composição in-place).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565c0"/>
          <w:sz w:val="22"/>
          <w:szCs w:val="22"/>
        </w:rPr>
        <w:t xml:space="preserve">C-joint — CITRA + imagens REAIS do ABOShips, treinadas juntas (co-treino).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62828"/>
          <w:sz w:val="22"/>
          <w:szCs w:val="22"/>
        </w:rPr>
        <w:t xml:space="preserve">C-pre — pré-treino direto no ABOShips real, depois ajuste no CITRA.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Resultado in-domain (no próprio CITRA)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Avaliando no conjunto de teste do CITRA (embarcações pequenas), a síntese venceu: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mAP50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Δ vs base</w:t>
            </w:r>
          </w:p>
        </w:tc>
      </w:tr>
      <w:tr>
        <w:tc>
          <w:tcPr>
            <w:tcW w:type="dxa" w:w="3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A_joint_ABO (síntese)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0,8384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0,7946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0"/>
                <w:szCs w:val="20"/>
              </w:rPr>
              <w:t xml:space="preserve">+0,69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B2 (linha de base)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0,8315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0,7795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C-joint (real co-treino)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0,8310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0,7732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−0,05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C-pre (real pré-treino)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0,8279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0,7631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c62828"/>
                <w:sz w:val="20"/>
                <w:szCs w:val="20"/>
              </w:rPr>
              <w:t xml:space="preserve">−0,37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Só a síntese (A_joint_ABO) supera a base. O dado real puro não ajuda (C-joint neutro) ou atrapalha (C-pre). Confirmado nas 3 repetições.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Resultado de generalização (num dataset nunca visto: SeaShips)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Para testar se o efeito vale além do CITRA, avaliamos os modelos, sem nenhum novo treino, no SeaShips — um dataset independente de câmera costeira (6.979 imagens). Aqui o resultado se inverteu: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mAP50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Δ vs base</w:t>
            </w:r>
          </w:p>
        </w:tc>
      </w:tr>
      <w:tr>
        <w:tc>
          <w:tcPr>
            <w:tcW w:type="dxa" w:w="3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C-joint (real co-treino)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0,4395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0,3872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65c0"/>
                <w:sz w:val="20"/>
                <w:szCs w:val="20"/>
              </w:rPr>
              <w:t xml:space="preserve">+4,75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A_joint_ABO (síntese)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0,4184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0"/>
                <w:szCs w:val="20"/>
              </w:rPr>
              <w:t xml:space="preserve">0,4445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+2,63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B2 (linha de base)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0,3920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0,3781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C-pre (real pré-treino)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0,3041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0,2887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c62828"/>
                <w:sz w:val="20"/>
                <w:szCs w:val="20"/>
              </w:rPr>
              <w:t xml:space="preserve">−8,79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Agora o co-treino real (C-joint) lidera. A síntese ainda supera a base e tem o melhor recall (detecta mais embarcações), mas não domina mais. C-pre continua sendo a pior escolha.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1. As duas faces do resultado: no CITRA (esquerda, embarcações pequenas) a síntese vence; no SeaShips (direita, embarcações grandes) o co-treino real vence. Barras de erro = desvio-padrão das 3 repetições.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3. Por que a inversão? A hipótese de escala — confirmada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explicação está no tamanho das embarcações de cada domínio. Medimos a área das caixas de anotação: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2. O CITRA é dominado por embarcações pequenas (área mediana 0,10% da imagem); o SeaShips, por embarcações grandes (3,64% — cerca de 36× maiores).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mecanismo fica claro: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síntese (A_joint_ABO) cola as embarcações públicas na escala minúscula do CITRA. O modelo vira especialista em objetos pequenos — ótimo no CITRA, mas mal-adaptado ao SeaShips, que é grande.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co-treino real (C-joint) preserva as embarcações grandes originais do ABOShips. O modelo mantém competência em objetos grandes — o que o SeaShips (63% grandes) exige.</w:t>
      </w:r>
    </w:p>
    <w:p>
      <w:pPr>
        <w:spacing w:after="160" w:before="0"/>
      </w:pPr>
      <w:r>
        <w:rPr>
          <w:rFonts w:ascii="Calibri" w:cs="Calibri" w:eastAsia="Calibri" w:hAnsi="Calibri"/>
          <w:sz w:val="22"/>
          <w:szCs w:val="22"/>
        </w:rPr>
        <w:t xml:space="preserve">Ou seja: a síntese in-place otimiza para a escala do alvo operacional. Isso é uma vantagem quando o alvo é pequeno (CITRA) e um custo quando o alvo é grande (SeaShips).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4. O que isso significa para o projeto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3f0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565c0"/>
                <w:sz w:val="22"/>
                <w:szCs w:val="22"/>
              </w:rPr>
              <w:t xml:space="preserve">A estratégia de aumento de dados ideal depende da escala das embarcações no cenário de emprego real.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Alvo pequeno/distante (vigilância de longo alcance, como o CITRA): síntese in-place é a melhor escolha.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Alvo grande/próximo (cenário costeiro, como o SeaShips): co-treino com dados reais da fonte generaliza melhor.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Em todos os casos, o pré-treino direto (C-pre) é a pior opção e deve ser evitado.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5. Proposta de próximo experimento — síntese multi-fonte com controle de volume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descoberta acima sugere uma pergunta natural e operacionalmente valiosa: e se combinarmos fontes de escalas diferentes na síntese? Um modelo exposto a embarcações sintéticas de múltiplas fontes seria mais robusto a variação de escala — acertando bem tanto no pequeno quanto no grande?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ideia é compor o CITRA com crops sintéticos de DUAS fontes de escalas distintas (ABOShips + SMD on-shore, esta última de escala intermediária) e avaliar em ambos os regimes (CITRA pequeno + SeaShips grande).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cuidado metodológico decisivo — controle de volume: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Ao juntar duas fontes, mudam DUAS coisas ao mesmo tempo: a diversidade de fontes e o volume de imagens. Para saber se um eventual ganho vem da diversidade (e não de simplesmente mais dados), incluiremos um braço de controle com o MESMO volume de imagens, porém de fonte única. Sem esse controle, um revisor — e a própria decisão de engenharia — não conseguiria distinguir as duas causas.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2000"/>
      </w:tblGrid>
      <w:tr>
        <w:trPr>
          <w:tblHeader/>
        </w:trPr>
        <w:tc>
          <w:tcPr>
            <w:tcW w:type="dxa" w:w="32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Braço proposto</w:t>
            </w:r>
          </w:p>
        </w:tc>
        <w:tc>
          <w:tcPr>
            <w:tcW w:type="dxa" w:w="38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Composição</w:t>
            </w:r>
          </w:p>
        </w:tc>
        <w:tc>
          <w:tcPr>
            <w:tcW w:type="dxa" w:w="20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Volume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Multi-fonte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sintético (ABOShips + SMD)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2V</w:t>
            </w:r>
          </w:p>
        </w:tc>
      </w:tr>
      <w:tr>
        <w:tc>
          <w:tcPr>
            <w:tcW w:type="dxa" w:w="32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 de volume</w:t>
            </w:r>
          </w:p>
        </w:tc>
        <w:tc>
          <w:tcPr>
            <w:tcW w:type="dxa" w:w="38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sintético (só ABOShips, dobrado)</w:t>
            </w:r>
          </w:p>
        </w:tc>
        <w:tc>
          <w:tcPr>
            <w:tcW w:type="dxa" w:w="20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2V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Referência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A_joint_ABO (fonte única, volume simples)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Comparando "multi-fonte" com "controle de volume" (ambos com o mesmo volume 2V), isolamos o efeito da diversidade de fontes. Avaliação em CITRA (in-domain) e SeaShips (generalização), mantendo o SeaShips intocado no treino.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cada resultado nos diria: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multi-fonte &gt; controle em AMBOS os domínios: a diversidade de escala produz um modelo mais robusto — recomendação direta para o pipeline da Marinha.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forem equivalentes: o ganho vem do volume, não da diversidade — e basta escalar uma fonte. Igualmente acionável.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multi-fonte ajuda só num regime: refina ainda mais a regra de qual estratégia usar para qual cenário.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Custo estimado: 3 braços × 3 repetições em GPU (A100), reaproveitando toda a infraestrutura já construída. Sem prazo de submissão — o foco é a robustez da recomendação para o projeto.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6. Decisão solicitada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</w:rPr>
        <w:t xml:space="preserve">Submete-se à apreciação do Comandante: (a) o enquadramento dos resultados atuais como descoberta rica (a estratégia ótima depende da escala do alvo), para a versão estendida em periódico; e (b) a autorização para o próximo experimento (multi-fonte com controle de volume), incluindo o uso de GPU associado.</w:t>
      </w:r>
    </w:p>
    <w:p>
      <w:pPr>
        <w:pBdr>
          <w:top w:val="single" w:color="607d8b" w:sz="6"/>
        </w:pBdr>
        <w:spacing w:before="200"/>
      </w:pPr>
      <w:r>
        <w:rPr>
          <w:rFonts w:ascii="Calibri" w:cs="Calibri" w:eastAsia="Calibri" w:hAnsi="Calibri"/>
          <w:i/>
          <w:iCs/>
          <w:color w:val="607d8b"/>
          <w:sz w:val="16"/>
          <w:szCs w:val="16"/>
        </w:rPr>
        <w:t xml:space="preserve">Documento técnico interno — dados operacionais restritos. Fontes públicas citadas conforme licenças originais.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a0078531df5f66845b2cb6673cf89a38222816.png"/><Relationship Id="rId8" Type="http://schemas.openxmlformats.org/officeDocument/2006/relationships/image" Target="media/0ad33b61f75ea2121d2679580eea5f23e20a5b8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2026-07-13T14:03:20.797Z</dcterms:created>
  <dcterms:modified xsi:type="dcterms:W3CDTF">2026-07-13T14:03:20.812Z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