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607d8b"/>
          <w:sz w:val="20"/>
          <w:szCs w:val="20"/>
        </w:rPr>
        <w:t xml:space="preserve">Projeto CASNAV/DMarSup — Termo 66/2025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Detecção de Embarcações — Aumento de Dados Cross-Domain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607d8b"/>
          <w:sz w:val="22"/>
          <w:szCs w:val="22"/>
        </w:rPr>
        <w:t xml:space="preserve">Como aumentar o dataset para um modelo operacional mais assertivo no CITRA real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1565c0"/>
          <w:sz w:val="18"/>
          <w:szCs w:val="18"/>
        </w:rPr>
        <w:t xml:space="preserve">Repositório: github.com/DanielaLFreire/maritime-crossdomain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2"/>
                <w:szCs w:val="22"/>
              </w:rPr>
              <w:t xml:space="preserve">Objetivo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 um modelo operacional que detecte embarcações nas imagens reais do CITRA-3D com o máximo de assertividade. O dataset operacional é pequeno e restrito; a questão de engenharia é como aumentá-lo — com quais dados e por qual método — para o modelo acertar mais na operação real. As publicações são um subproduto formal do trabalho; o produto é o modelo.</w:t>
            </w:r>
          </w:p>
        </w:tc>
      </w:tr>
    </w:tbl>
    <w:p>
      <w:pPr>
        <w:spacing w:after="160"/>
      </w:pPr>
      <w:r>
        <w:rPr>
          <w:sz w:val="8"/>
          <w:szCs w:val="8"/>
        </w:rPr>
        <w:t xml:space="preserv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Retrospectiva — o que já sabíamos (do primeiro estudo)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 sistema de detecção da Marinha é treinado sobre o CITRA-3D-Real, um conjunto operacional restrito e pequeno (2.081 imagens). A pergunta de partida foi: podemos aumentar esse conjunto com imagens públicas de embarcações para o modelo acertar mais?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resposta do primeiro estudo foi contra-intuitiva e virou o título do artigo: "semelhança visual não basta". Usar um dataset público grande e visualmente parecido (InaTechShips) por pré-treino direto PIOROU o modelo — uma transferência negativa de −4,15 pontos. A causa não é a aparência, e sim a incompatibilidade estrutural: as embarcações do CITRA são minúsculas (0,1% da imagem) e as do InaTechShips são enormes (54%).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</w:rPr>
        <w:t xml:space="preserve">A solução que funcionou foi a composição sintética in-place: recortar a embarcação pública (com o modelo SAM) e colá-la na cena operacional, na posição e escala de uma embarcação real. Treinando o CITRA junto com essas imagens sintéticas (regime "joint"), o ganho foi de +1,00 ponto — revertendo a transferência negativa. A conclusão do artigo: o que prediz a utilidade de uma fonte é a compatibilidade estrutural, e a síntese domain-adapted é o mecanismo que a aproveita.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O experimento atual — a fonte estruturalmente próxima (ABOShips)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O artigo usou uma única fonte, distante. A extensão adiciona uma segunda fonte, ABOShips, que é estruturalmente PRÓXIMA do CITRA (distância 0,95, contra a distância muito maior do InaTechShips). Isso permite responder a uma pergunta nova: a estratégia de aumento depende de COMO a fonte é usada — como imagem sintética ou como dado real?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Comparamos quatro estratégias (cada uma com 3 repetições para robustez estatística):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B2 — linha de base: só o CITRA (sem aumento).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2e7d32"/>
          <w:sz w:val="22"/>
          <w:szCs w:val="22"/>
        </w:rPr>
        <w:t xml:space="preserve">A_joint_ABO — CITRA + imagens SINTÉTICAS do ABOShips (composição in-place).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565c0"/>
          <w:sz w:val="22"/>
          <w:szCs w:val="22"/>
        </w:rPr>
        <w:t xml:space="preserve">C-joint — CITRA + imagens REAIS do ABOShips, treinadas juntas (co-treino).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c62828"/>
          <w:sz w:val="22"/>
          <w:szCs w:val="22"/>
        </w:rPr>
        <w:t xml:space="preserve">C-pre — pré-treino direto no ABOShips real, depois ajuste no CITRA.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2.1. Resultado no CITRA — o cenário-alvo da operação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Este é o resultado que mais importa: o desempenho no próprio CITRA, que é o domínio real de emprego. Avaliando no conjunto de teste do CITRA (embarcações pequenas, vigilância), a síntese foi a melhor estratégia de aumento: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2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vs base</w:t>
            </w:r>
          </w:p>
        </w:tc>
      </w:tr>
      <w:tr>
        <w:tc>
          <w:tcPr>
            <w:tcW w:type="dxa" w:w="3000"/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A_joint_ABO (síntese)</w:t>
            </w:r>
          </w:p>
        </w:tc>
        <w:tc>
          <w:tcPr>
            <w:tcW w:type="dxa" w:w="2000"/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0,8384</w:t>
            </w:r>
          </w:p>
        </w:tc>
        <w:tc>
          <w:tcPr>
            <w:tcW w:type="dxa" w:w="2000"/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0,7946</w:t>
            </w:r>
          </w:p>
        </w:tc>
        <w:tc>
          <w:tcPr>
            <w:tcW w:type="dxa" w:w="2000"/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+0,69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 (linha de base)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0,8315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0,7795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C-joint (real co-treino)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0,8310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0,7732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−0,05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C-pre (real pré-treino)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0,8279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0,7631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−0,37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Só a síntese (A_joint_ABO) supera a base. O dado real puro não ajuda (C-joint neutro) ou atrapalha (C-pre). Confirmado nas 3 repetições.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2.2. Teste-diagnóstico num domínio diferente (SeaShips)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Para entender o comportamento dos modelos, avaliamos em um domínio propositalmente diferente — o SeaShips, câmera costeira com embarcações grandes (6.979 imagens, sem novo treino). O SeaShips NÃO é o cenário de emprego; serve como sonda para revelar o que cada estratégia aprende. E aqui o resultado se inverteu: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  <w:tc>
          <w:tcPr>
            <w:tcW w:type="dxa" w:w="2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mAP50</w:t>
            </w:r>
          </w:p>
        </w:tc>
        <w:tc>
          <w:tcPr>
            <w:tcW w:type="dxa" w:w="2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000"/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vs base</w:t>
            </w:r>
          </w:p>
        </w:tc>
      </w:tr>
      <w:tr>
        <w:tc>
          <w:tcPr>
            <w:tcW w:type="dxa" w:w="3000"/>
            <w:shd w:fill="e3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C-joint (real co-treino)</w:t>
            </w:r>
          </w:p>
        </w:tc>
        <w:tc>
          <w:tcPr>
            <w:tcW w:type="dxa" w:w="2000"/>
            <w:shd w:fill="e3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0,4395</w:t>
            </w:r>
          </w:p>
        </w:tc>
        <w:tc>
          <w:tcPr>
            <w:tcW w:type="dxa" w:w="2000"/>
            <w:shd w:fill="e3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0,3872</w:t>
            </w:r>
          </w:p>
        </w:tc>
        <w:tc>
          <w:tcPr>
            <w:tcW w:type="dxa" w:w="2000"/>
            <w:shd w:fill="e3f0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+4,75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A_joint_ABO (síntese)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0,4184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0,4445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+2,63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B2 (linha de base)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0,3920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0,3781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C-pre (real pré-treino)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0,3041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0,2887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c62828"/>
                <w:sz w:val="20"/>
                <w:szCs w:val="20"/>
              </w:rPr>
              <w:t xml:space="preserve">−8,79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Num domínio de embarcações grandes, o co-treino real (C-joint) lidera. Isso NÃO significa trocar de estratégia para a operação — significa que cada método aprende uma escala diferente. A leitura correta vem a seguir.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1. As duas faces do resultado: no CITRA (esquerda, embarcações pequenas) a síntese vence; no SeaShips (direita, embarcações grandes) o co-treino real vence. Barras de erro = desvio-padrão das 3 repetições.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Por que a inversão? A hipótese de escala — confirmada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explicação está no tamanho das embarcações de cada domínio. Medimos a área das caixas de anotação: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Figura 2. O CITRA é dominado por embarcações pequenas (área mediana 0,10% da imagem); o SeaShips, por embarcações grandes (3,64% — cerca de 36× maiores).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mecanismo fica claro: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síntese (A_joint_ABO) cola as embarcações públicas na escala minúscula do CITRA. O modelo vira especialista em objetos pequenos — ótimo no CITRA, mas mal-adaptado ao SeaShips, que é grande.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co-treino real (C-joint) preserva as embarcações grandes originais do ABOShips. O modelo mantém competência em objetos grandes — o que o SeaShips (63% grandes) exige.</w:t>
      </w:r>
    </w:p>
    <w:p>
      <w:pPr>
        <w:spacing w:after="160" w:before="0"/>
      </w:pPr>
      <w:r>
        <w:rPr>
          <w:rFonts w:ascii="Calibri" w:cs="Calibri" w:eastAsia="Calibri" w:hAnsi="Calibri"/>
          <w:sz w:val="22"/>
          <w:szCs w:val="22"/>
        </w:rPr>
        <w:t xml:space="preserve">Ou seja: a síntese in-place otimiza para a escala do alvo operacional. Isso é uma vantagem quando o alvo é pequeno (CITRA) e um custo quando o alvo é grande (SeaShips).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O que isso significa para o projeto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3f0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2"/>
                <w:szCs w:val="22"/>
              </w:rPr>
              <w:t xml:space="preserve">Recomendação para o modelo operacional do CITRA: usar a síntese in-place (A_joint_ABO).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CITRA é dominado por embarcações pequenas — exatamente o regime em que a síntese vence. Como o alvo real de emprego é o CITRA, a síntese é a escolha certa para o modelo em produção. É também a que entrega o maior recall no CITRA (detecta mais embarcações, o que mais importa em vigilância).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 vantagem do co-treino real aparece só em domínios de embarcações grandes (como o SeaShips), que não é o cenário de emprego. Esse dado é útil para o futuro: se a operação passar a incluir alvos maiores/próximos, a estratégia deve ser revista.</w:t>
            </w:r>
          </w:p>
        </w:tc>
      </w:tr>
    </w:tbl>
    <w:p>
      <w:pPr>
        <w:spacing w:after="200" w:before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Em todos os casos, o pré-treino direto no dado público (C-pre) é a pior opção e deve ser evitado no pipeline operacional.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Proposta de próximo experimento — síntese multi-fonte com controle de volume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pergunta que serve diretamente ao modelo operacional: adicionar crops sintéticos de mais de uma fonte torna o modelo do CITRA ainda mais assertivo? Mais variedade de aparência de embarcação — sem sair da escala pequena do CITRA — pode aumentar o acerto na operação real, especialmente em condições que o dataset atual cobre pouco.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 ideia é compor o CITRA com crops sintéticos de DUAS fontes (ABOShips + SMD on-shore), sempre coladas na escala do CITRA, e medir o ganho no PRÓPRIO CITRA (o alvo). O SeaShips entra apenas como sonda-diagnóstico secundária.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cuidado metodológico decisivo — controle de volume: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Ao juntar duas fontes, mudam DUAS coisas ao mesmo tempo: a diversidade de fontes e o volume de imagens. Para saber se um eventual ganho vem da diversidade (e não de simplesmente mais dados), incluiremos um braço de controle com o MESMO volume de imagens, porém de fonte única. Sem esse controle, um revisor — e a própria decisão de engenharia — não conseguiria distinguir as duas causas.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00"/>
      </w:tblGrid>
      <w:tr>
        <w:trPr>
          <w:tblHeader/>
        </w:trPr>
        <w:tc>
          <w:tcPr>
            <w:tcW w:type="dxa" w:w="3200"/>
            <w:shd w:fill="2e7d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Braço proposto</w:t>
            </w:r>
          </w:p>
        </w:tc>
        <w:tc>
          <w:tcPr>
            <w:tcW w:type="dxa" w:w="3800"/>
            <w:shd w:fill="2e7d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Composição</w:t>
            </w:r>
          </w:p>
        </w:tc>
        <w:tc>
          <w:tcPr>
            <w:tcW w:type="dxa" w:w="2000"/>
            <w:shd w:fill="2e7d32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Multi-fonte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CITRA + sintético (ABOShips + SMD)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2V</w:t>
            </w:r>
          </w:p>
        </w:tc>
      </w:tr>
      <w:tr>
        <w:tc>
          <w:tcPr>
            <w:tcW w:type="dxa" w:w="3200"/>
            <w:shd w:fill="ecef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Controle de volume</w:t>
            </w:r>
          </w:p>
        </w:tc>
        <w:tc>
          <w:tcPr>
            <w:tcW w:type="dxa" w:w="3800"/>
            <w:shd w:fill="ecef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CITRA + sintético (só ABOShips, dobrado)</w:t>
            </w:r>
          </w:p>
        </w:tc>
        <w:tc>
          <w:tcPr>
            <w:tcW w:type="dxa" w:w="2000"/>
            <w:shd w:fill="eceff1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2V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Referência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A_joint_ABO (fonte única, volume simples)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Comparando "multi-fonte" com "controle de volume" (ambos com o mesmo volume 2V), isolamos o efeito da diversidade de fontes. Avaliação em CITRA (in-domain) e SeaShips (generalização), mantendo o SeaShips intocado no treino.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cada resultado nos diria: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multi-fonte &gt; controle no CITRA: adotar composição multi-fonte no pipeline operacional — modelo mais assertivo na operação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forem equivalentes: o ganho vinha do volume, não da diversidade — basta escalar uma fonte, mais simples de manter em produção.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Em qualquer caso, a decisão é sobre COMO montar o dataset de treino do modelo em produção — não um exercício acadêmico.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Custo estimado: 3 braços × 3 repetições em GPU (A100), reaproveitando toda a infraestrutura já construída. O foco é a decisão de engenharia: qual composição de dataset produz o modelo operacional mais assertivo no CITRA.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Próximos passos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Com base nos resultados, os próximos passos definidos são: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Adotar a síntese in-place (A_joint_ABO) como estratégia de aumento do modelo operacional do CITRA — é a que mais acerta no cenário-alvo real.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Executar o experimento multi-fonte com controle de volume (Seção 5) para verificar se um dataset multi-fonte torna o modelo operacional ainda mais assertivo no CITRA.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Manter o monitoramento por escala: se o cenário de emprego passar a incluir embarcações maiores/próximas, reavaliar a estratégia (o co-treino real passa a ser competitivo).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Consolidar a versão estendida em periódico — formalização do trabalho, subproduto da construção do modelo.</w:t>
      </w:r>
    </w:p>
    <w:p>
      <w:pPr>
        <w:spacing w:after="200" w:before="100"/>
      </w:pPr>
      <w:r>
        <w:rPr>
          <w:rFonts w:ascii="Calibri" w:cs="Calibri" w:eastAsia="Calibri" w:hAnsi="Calibri"/>
          <w:sz w:val="22"/>
          <w:szCs w:val="22"/>
        </w:rPr>
        <w:t xml:space="preserve">Todo o código, dados de resultado e figuras estão versionados no repositório do projeto: github.com/DanielaLFreire/maritime-crossdomain.</w:t>
      </w:r>
    </w:p>
    <w:p>
      <w:pPr>
        <w:pBdr>
          <w:top w:val="single" w:color="607d8b" w:sz="6"/>
        </w:pBdr>
        <w:spacing w:before="200"/>
      </w:pPr>
      <w:r>
        <w:rPr>
          <w:rFonts w:ascii="Calibri" w:cs="Calibri" w:eastAsia="Calibri" w:hAnsi="Calibri"/>
          <w:i/>
          <w:iCs/>
          <w:color w:val="607d8b"/>
          <w:sz w:val="16"/>
          <w:szCs w:val="16"/>
        </w:rPr>
        <w:t xml:space="preserve">Documento técnico interno — dados operacionais restritos. Fontes públicas citadas conforme licenças originais.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8a0078531df5f66845b2cb6673cf89a38222816.png"/><Relationship Id="rId8" Type="http://schemas.openxmlformats.org/officeDocument/2006/relationships/image" Target="media/0ad33b61f75ea2121d2679580eea5f23e20a5b8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2026-07-13T15:08:24.540Z</dcterms:created>
  <dcterms:modified xsi:type="dcterms:W3CDTF">2026-07-13T15:08:24.555Z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