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7951ebd21f5007daed3492c00a9a44cee08a2da"/>
    <w:p>
      <w:pPr>
        <w:pStyle w:val="Heading1"/>
      </w:pPr>
      <w:r>
        <w:t xml:space="preserve">Plano de Experimento — Aumento Cross-Domain do CITRA-3D-Real</w:t>
      </w:r>
    </w:p>
    <w:bookmarkStart w:id="20" w:name="X52bd3dca97df91993974c446d2e789687a403ad"/>
    <w:p>
      <w:pPr>
        <w:pStyle w:val="Heading3"/>
      </w:pPr>
      <w:r>
        <w:t xml:space="preserve">Compatibilidade estrutural como preditor de transferência: dado real estruturalmente-próximo (ABOShips, SMD on-shore) e composição sintética multi-fonte para detecção operacional de embarcações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CASNAV/DMarSup — Termo 66/2025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experimental (v1, rascunho para revisão)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26/06/2026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Daniela L. Freire (ICMC/USP)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Cmte. Leandro A. S. Moreira (LNCC)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 original (InaTechShips)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Eduardo H. Teixeira (UNIFEI/INATEL)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Aguardando autorização do supervisor para alocação de compute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 de escopo.</w:t>
      </w:r>
      <w:r>
        <w:t xml:space="preserve"> </w:t>
      </w:r>
      <w:r>
        <w:t xml:space="preserve">Este documento é um</w:t>
      </w:r>
      <w:r>
        <w:t xml:space="preserve"> </w:t>
      </w:r>
      <w:r>
        <w:rPr>
          <w:iCs/>
          <w:i/>
        </w:rPr>
        <w:t xml:space="preserve">plano</w:t>
      </w:r>
      <w:r>
        <w:t xml:space="preserve">, não um relatório de resultados. Ele define hipóteses, braços, splits, métricas e critérios de decisão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 execução, de modo a (i) guiar a equipe e (ii) servir de base para a extensão de periódico do artigo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Visual Similarity Is Not Enough</w:t>
      </w:r>
      <w:r>
        <w:rPr>
          <w:iCs/>
          <w:i/>
        </w:rPr>
        <w:t xml:space="preserve">”</w:t>
      </w:r>
      <w:r>
        <w:t xml:space="preserve">. Nenhum número de resultado aqui é definitivo; os valores citados são os já estabelecidos no artigo atual e servem de referência.</w:t>
      </w:r>
    </w:p>
    <w:p>
      <w:r>
        <w:pict>
          <v:rect style="width:0;height:1.5pt" o:hralign="center" o:hrstd="t" o:hr="t"/>
        </w:pict>
      </w:r>
    </w:p>
    <w:bookmarkEnd w:id="20"/>
    <w:bookmarkStart w:id="21" w:name="contexto-e-ponto-de-partida"/>
    <w:p>
      <w:pPr>
        <w:pStyle w:val="Heading2"/>
      </w:pPr>
      <w:r>
        <w:t xml:space="preserve">1. Contexto e ponto de partida</w:t>
      </w:r>
    </w:p>
    <w:p>
      <w:pPr>
        <w:pStyle w:val="FirstParagraph"/>
      </w:pPr>
      <w:r>
        <w:t xml:space="preserve">O artigo atual estabelece três achados sobre o uso de imagens públicas de navios para detecção operacional no CITRA-3D-Real: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Transferência negativa estrutural.</w:t>
      </w:r>
      <w:r>
        <w:t xml:space="preserve"> </w:t>
      </w:r>
      <w:r>
        <w:t xml:space="preserve">Pré-treino direto no InaTechShips (~28k imagens públicas, close-range) degrada o mAP50 em</w:t>
      </w:r>
      <w:r>
        <w:t xml:space="preserve"> </w:t>
      </w:r>
      <w:r>
        <w:rPr>
          <w:bCs/>
          <w:b/>
        </w:rPr>
        <w:t xml:space="preserve">−4,15 pp</w:t>
      </w:r>
      <w:r>
        <w:t xml:space="preserve"> </w:t>
      </w:r>
      <w:r>
        <w:t xml:space="preserve">(Arm A) frente ao baseline COCO (B2 = 0,8351 ± 0,0020), independentemente de curadoria por CLIP (Arm B, −4,06 pp). A causa é um gap</w:t>
      </w:r>
      <w:r>
        <w:t xml:space="preserve"> </w:t>
      </w:r>
      <w:r>
        <w:rPr>
          <w:bCs/>
          <w:b/>
        </w:rPr>
        <w:t xml:space="preserve">estrutural</w:t>
      </w:r>
      <w:r>
        <w:t xml:space="preserve"> </w:t>
      </w:r>
      <w:r>
        <w:t xml:space="preserve">— escala, densidade e contexto de captura — não semântico.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Solução por composição sintética in-place + treino conjunto balanceado.</w:t>
      </w:r>
      <w:r>
        <w:t xml:space="preserve"> </w:t>
      </w:r>
      <w:r>
        <w:t xml:space="preserve">O braço A′joint atinge</w:t>
      </w:r>
      <w:r>
        <w:t xml:space="preserve"> </w:t>
      </w:r>
      <w:r>
        <w:rPr>
          <w:bCs/>
          <w:b/>
        </w:rPr>
        <w:t xml:space="preserve">0,8451 ± 0,0033</w:t>
      </w:r>
      <w:r>
        <w:t xml:space="preserve"> </w:t>
      </w:r>
      <w:r>
        <w:t xml:space="preserve">(+1,00 pp sobre B2), elevando o Recall de 0,783 → 0,805 (+2,2 pp; +2,8% relativo) sem perda de precisão.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Ancoragem espacial é higiene de dados.</w:t>
      </w:r>
      <w:r>
        <w:t xml:space="preserve"> </w:t>
      </w:r>
      <w:r>
        <w:t xml:space="preserve">A ablação A′joint-rand mostra que a colocação exata dos crops não é o motor do ganho.</w:t>
      </w:r>
    </w:p>
    <w:p>
      <w:pPr>
        <w:pStyle w:val="FirstParagraph"/>
      </w:pPr>
      <w:r>
        <w:t xml:space="preserve">O probe zero-shot na</w:t>
      </w:r>
      <w:r>
        <w:t xml:space="preserve"> </w:t>
      </w:r>
      <w:r>
        <w:rPr>
          <w:bCs/>
          <w:b/>
        </w:rPr>
        <w:t xml:space="preserve">Singapore Maritime Dataset (SMD on-shore)</w:t>
      </w:r>
      <w:r>
        <w:t xml:space="preserve"> </w:t>
      </w:r>
      <w:r>
        <w:t xml:space="preserve">(Tabela IV do artigo: 914 imagens, 36 vídeos) confirma as duas direções num domínio independente: B2 = 0,5868 zero-shot; arms InaTech abaixo; arms sintéticos acima.</w:t>
      </w:r>
    </w:p>
    <w:p>
      <w:pPr>
        <w:pStyle w:val="BodyText"/>
      </w:pPr>
      <w:r>
        <w:rPr>
          <w:bCs/>
          <w:b/>
        </w:rPr>
        <w:t xml:space="preserve">Lacuna que este experimento ataca.</w:t>
      </w:r>
      <w:r>
        <w:t xml:space="preserve"> </w:t>
      </w:r>
      <w:r>
        <w:t xml:space="preserve">O artigo prova um</w:t>
      </w:r>
      <w:r>
        <w:t xml:space="preserve"> </w:t>
      </w:r>
      <w:r>
        <w:rPr>
          <w:iCs/>
          <w:i/>
        </w:rPr>
        <w:t xml:space="preserve">negativo</w:t>
      </w:r>
      <w:r>
        <w:t xml:space="preserve"> </w:t>
      </w:r>
      <w:r>
        <w:t xml:space="preserve">(similaridade visual via CLIP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prevê utilidade de transferência), mas não oferece um</w:t>
      </w:r>
      <w:r>
        <w:t xml:space="preserve"> </w:t>
      </w:r>
      <w:r>
        <w:rPr>
          <w:bCs/>
          <w:b/>
        </w:rPr>
        <w:t xml:space="preserve">preditor positivo</w:t>
      </w:r>
      <w:r>
        <w:t xml:space="preserve"> </w:t>
      </w:r>
      <w:r>
        <w:t xml:space="preserve">de quando uma fonte externa</w:t>
      </w:r>
      <w:r>
        <w:t xml:space="preserve"> </w:t>
      </w:r>
      <w:r>
        <w:rPr>
          <w:iCs/>
          <w:i/>
        </w:rPr>
        <w:t xml:space="preserve">vai</w:t>
      </w:r>
      <w:r>
        <w:t xml:space="preserve"> </w:t>
      </w:r>
      <w:r>
        <w:t xml:space="preserve">ajudar. Este experimento fornece o caso positivo que fecha o argumento e, simultaneamente, entrega uma receita operacional de aumento do CITRA-3D.</w:t>
      </w:r>
    </w:p>
    <w:p>
      <w:r>
        <w:pict>
          <v:rect style="width:0;height:1.5pt" o:hralign="center" o:hrstd="t" o:hr="t"/>
        </w:pict>
      </w:r>
    </w:p>
    <w:bookmarkEnd w:id="21"/>
    <w:bookmarkStart w:id="22" w:name="X35e91c8a392473554c8301d9352f89ac8e6c397"/>
    <w:p>
      <w:pPr>
        <w:pStyle w:val="Heading2"/>
      </w:pPr>
      <w:r>
        <w:t xml:space="preserve">2. Diagnóstico crítico das fontes candidatas (registro para a equipe)</w:t>
      </w:r>
    </w:p>
    <w:p>
      <w:pPr>
        <w:pStyle w:val="FirstParagraph"/>
      </w:pPr>
      <w:r>
        <w:t xml:space="preserve">Três datasets foram inicialmente cogitados como</w:t>
      </w:r>
      <w:r>
        <w:t xml:space="preserve"> </w:t>
      </w:r>
      <w:r>
        <w:t xml:space="preserve">“</w:t>
      </w:r>
      <w:r>
        <w:t xml:space="preserve">contexto similar ao CITRA-3D</w:t>
      </w:r>
      <w:r>
        <w:t xml:space="preserve">”</w:t>
      </w:r>
      <w:r>
        <w:t xml:space="preserve"> </w:t>
      </w:r>
      <w:r>
        <w:t xml:space="preserve">(Roboflow Universe). A verificação mostrou que</w:t>
      </w:r>
      <w:r>
        <w:t xml:space="preserve"> </w:t>
      </w:r>
      <w:r>
        <w:rPr>
          <w:bCs/>
          <w:b/>
        </w:rPr>
        <w:t xml:space="preserve">os três são, na prática, a mesma base — a Singapore Maritime Dataset (SMD)</w:t>
      </w:r>
      <w:r>
        <w:t xml:space="preserve"> </w:t>
      </w:r>
      <w:r>
        <w:t xml:space="preserve">reembalada: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 (Roboflow)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de ser SMD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maritime-cumkb/singapore-maritime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Nomes</w:t>
            </w:r>
            <w:r>
              <w:t xml:space="preserve"> </w:t>
            </w:r>
            <w:r>
              <w:rPr>
                <w:rStyle w:val="VerbatimChar"/>
              </w:rPr>
              <w:t xml:space="preserve">MVI_1448_VIS_Haze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MVI_1530_NIR</w:t>
            </w:r>
            <w:r>
              <w:t xml:space="preserve">; 9 classes SMD; VIS+NIR+Haze, on-board+on-shore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connor/smd-val2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de validação do SMD (classes</w:t>
            </w:r>
            <w:r>
              <w:t xml:space="preserve"> </w:t>
            </w:r>
            <w:r>
              <w:rPr>
                <w:rStyle w:val="VerbatimChar"/>
              </w:rPr>
              <w:t xml:space="preserve">boat-buoy-other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cyrls-workspace/vessels-ships-2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</w:t>
            </w:r>
            <w:r>
              <w:t xml:space="preserve"> </w:t>
            </w:r>
            <w:r>
              <w:rPr>
                <w:rStyle w:val="VerbatimChar"/>
              </w:rPr>
              <w:t xml:space="preserve">MVI_0790_VIS_OB_frame385</w:t>
            </w:r>
            <w:r>
              <w:t xml:space="preserve">; taxonomia SMD de 9 classes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Consequências que condicionam todo o desenho: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Não há três fontes independentes.</w:t>
      </w:r>
      <w:r>
        <w:t xml:space="preserve"> </w:t>
      </w:r>
      <w:r>
        <w:t xml:space="preserve">Combiná-las replica o SMD, com sobreposição de frames entre os</w:t>
      </w:r>
      <w:r>
        <w:t xml:space="preserve"> </w:t>
      </w:r>
      <w:r>
        <w:t xml:space="preserve">“</w:t>
      </w:r>
      <w:r>
        <w:t xml:space="preserve">splits</w:t>
      </w:r>
      <w:r>
        <w:t xml:space="preserve">”</w:t>
      </w:r>
      <w:r>
        <w:t xml:space="preserve"> </w:t>
      </w:r>
      <w:r>
        <w:t xml:space="preserve">arbitrários do Roboflow (vazamento potencial).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Conflito com o held-out atual.</w:t>
      </w:r>
      <w:r>
        <w:t xml:space="preserve"> </w:t>
      </w:r>
      <w:r>
        <w:t xml:space="preserve">O SMD on-shore é o probe zero-shot já publicado. Treinar com qualquer um desses datasets</w:t>
      </w:r>
      <w:r>
        <w:t xml:space="preserve"> </w:t>
      </w:r>
      <w:r>
        <w:rPr>
          <w:bCs/>
          <w:b/>
        </w:rPr>
        <w:t xml:space="preserve">invalida a alegação de generalização</w:t>
      </w:r>
      <w:r>
        <w:t xml:space="preserve"> </w:t>
      </w:r>
      <w:r>
        <w:t xml:space="preserve">(Tabela IV) e o</w:t>
      </w:r>
      <w:r>
        <w:t xml:space="preserve"> </w:t>
      </w:r>
      <w:r>
        <w:rPr>
          <w:rStyle w:val="VerbatimChar"/>
        </w:rPr>
        <w:t xml:space="preserve">smd-val2</w:t>
      </w:r>
      <w:r>
        <w:t xml:space="preserve"> </w:t>
      </w:r>
      <w:r>
        <w:t xml:space="preserve">pode ter overlap literal com os frames de teste.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Decisão de design forçada:</w:t>
      </w:r>
      <w:r>
        <w:t xml:space="preserve"> </w:t>
      </w:r>
      <w:r>
        <w:t xml:space="preserve">se o SMD passar a ser fonte de treino, é obrigatório (a) reconstruir a partir do SMD original com split disjunto por vídeo e (b) introduzir um</w:t>
      </w:r>
      <w:r>
        <w:t xml:space="preserve"> </w:t>
      </w:r>
      <w:r>
        <w:rPr>
          <w:bCs/>
          <w:b/>
        </w:rPr>
        <w:t xml:space="preserve">novo</w:t>
      </w:r>
      <w:r>
        <w:t xml:space="preserve"> </w:t>
      </w:r>
      <w:r>
        <w:t xml:space="preserve">held-out verdadeiramente independente para sustentar a generalização.</w:t>
      </w:r>
    </w:p>
    <w:p>
      <w:r>
        <w:pict>
          <v:rect style="width:0;height:1.5pt" o:hralign="center" o:hrstd="t" o:hr="t"/>
        </w:pict>
      </w:r>
    </w:p>
    <w:bookmarkEnd w:id="22"/>
    <w:bookmarkStart w:id="23" w:name="pergunta-de-pesquisa-e-hipóteses"/>
    <w:p>
      <w:pPr>
        <w:pStyle w:val="Heading2"/>
      </w:pPr>
      <w:r>
        <w:t xml:space="preserve">3. Pergunta de pesquisa e hipóteses</w:t>
      </w:r>
    </w:p>
    <w:p>
      <w:pPr>
        <w:pStyle w:val="FirstParagraph"/>
      </w:pPr>
      <w:r>
        <w:rPr>
          <w:bCs/>
          <w:b/>
        </w:rPr>
        <w:t xml:space="preserve">Pergunta.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compatibilidade estrutural</w:t>
      </w:r>
      <w:r>
        <w:t xml:space="preserve"> </w:t>
      </w:r>
      <w:r>
        <w:t xml:space="preserve">entre fonte e domínio operacional prediz o sinal e a magnitude da transferência — e dado real estruturalmente-próximo pode aumentar o CITRA-3D sem reincorrer na transferência negativa observada com o InaTechShips?</w:t>
      </w:r>
    </w:p>
    <w:p>
      <w:pPr>
        <w:pStyle w:val="BodyText"/>
      </w:pPr>
      <w:r>
        <w:rPr>
          <w:bCs/>
          <w:b/>
        </w:rPr>
        <w:t xml:space="preserve">Hipóteses.</w:t>
      </w:r>
      <w:r>
        <w:t xml:space="preserve"> </w:t>
      </w:r>
      <w:r>
        <w:rPr>
          <w:iCs/>
          <w:i/>
        </w:rPr>
        <w:t xml:space="preserve">(Atualizadas após o perfil estrutural do §6.1, que mediu ABOShips 0,95 &lt; SMD 1,84 &lt; SeaShips 4,08 — invertendo a aposta inicial no SMD como mais próximo.)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H1 (preditor positivo).</w:t>
      </w:r>
      <w:r>
        <w:t xml:space="preserve"> </w:t>
      </w:r>
      <w:r>
        <w:t xml:space="preserve">Como o</w:t>
      </w:r>
      <w:r>
        <w:t xml:space="preserve"> </w:t>
      </w:r>
      <w:r>
        <w:rPr>
          <w:bCs/>
          <w:b/>
        </w:rPr>
        <w:t xml:space="preserve">ABOShips</w:t>
      </w:r>
      <w:r>
        <w:t xml:space="preserve"> </w:t>
      </w:r>
      <w:r>
        <w:t xml:space="preserve">é estruturalmente o mais próximo do CITRA-3D (d=0,95) — apesar de ser</w:t>
      </w:r>
      <w:r>
        <w:t xml:space="preserve"> </w:t>
      </w:r>
      <w:r>
        <w:rPr>
          <w:bCs/>
          <w:b/>
        </w:rPr>
        <w:t xml:space="preserve">câmera móvel</w:t>
      </w:r>
      <w:r>
        <w:t xml:space="preserve"> </w:t>
      </w:r>
      <w:r>
        <w:t xml:space="preserve">(waterbus), viewpoint diferente da câmera fixa costeira —, o pré-treino sequencial em ABOShips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reproduzirá o colapso de ~−4 pp do Arm A; espera-se resultado ~neutro ou positivo. O fato de o ABOShips ter cenário/viewpoint distintos torna o teste</w:t>
      </w:r>
      <w:r>
        <w:t xml:space="preserve"> </w:t>
      </w:r>
      <w:r>
        <w:rPr>
          <w:bCs/>
          <w:b/>
        </w:rPr>
        <w:t xml:space="preserve">mais forte</w:t>
      </w:r>
      <w:r>
        <w:t xml:space="preserve">: se ajudar apesar disso, é a estrutura (escala/densidade), não a aparência do cenário, que governa a transferência.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H2 (ganho operacional por co-treino real).</w:t>
      </w:r>
      <w:r>
        <w:t xml:space="preserve"> </w:t>
      </w:r>
      <w:r>
        <w:t xml:space="preserve">Treino conjunto balanceado de CITRA-3D + ABOShips real (sem síntese) melhora a detecção operacional, com ganho concentrado em Recall (mais positivos reais). Replicar com SMD on-shore como segunda fonte próxima confirma o efeito e mantém coerência com o probe já publicado.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H3 (método source-agnostic).</w:t>
      </w:r>
      <w:r>
        <w:t xml:space="preserve"> </w:t>
      </w:r>
      <w:r>
        <w:t xml:space="preserve">A composição in-place com crops vindos do ABOShips (fonte mais próxima) preserva o ganho de A′joint. Comparar com crops de fonte</w:t>
      </w:r>
      <w:r>
        <w:t xml:space="preserve"> </w:t>
      </w:r>
      <w:r>
        <w:rPr>
          <w:bCs/>
          <w:b/>
        </w:rPr>
        <w:t xml:space="preserve">distante</w:t>
      </w:r>
      <w:r>
        <w:t xml:space="preserve"> </w:t>
      </w:r>
      <w:r>
        <w:t xml:space="preserve">(SeaShips/InaTechShips) testa diretamente se o realinhamento estrutural torna o método robusto à fonte.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H4 (curva preditora).</w:t>
      </w:r>
      <w:r>
        <w:t xml:space="preserve"> </w:t>
      </w:r>
      <w:r>
        <w:t xml:space="preserve">Ordenando as fontes</w:t>
      </w:r>
      <w:r>
        <w:t xml:space="preserve"> </w:t>
      </w:r>
      <w:r>
        <w:rPr>
          <w:bCs/>
          <w:b/>
        </w:rPr>
        <w:t xml:space="preserve">efetivamente treinadas</w:t>
      </w:r>
      <w:r>
        <w:t xml:space="preserve"> </w:t>
      </w:r>
      <w:r>
        <w:t xml:space="preserve">por distância estrutural medida —</w:t>
      </w:r>
      <w:r>
        <w:t xml:space="preserve"> </w:t>
      </w:r>
      <w:r>
        <w:rPr>
          <w:bCs/>
          <w:b/>
        </w:rPr>
        <w:t xml:space="preserve">ABOShips (0,95) → SMD on-shore (1,84) → InaTechShips (≫, Arm A)</w:t>
      </w:r>
      <w:r>
        <w:t xml:space="preserve"> </w:t>
      </w:r>
      <w:r>
        <w:t xml:space="preserve">— o Δ-transferência varia monotonicamente do ~neutro/positivo ao fortemente negativo, fornecendo um preditor acionável. A distância do SeaShips (4,08) contextualiza por que ele serve de held-out e não de fonte.</w:t>
      </w:r>
    </w:p>
    <w:p>
      <w:pPr>
        <w:pStyle w:val="FirstParagraph"/>
      </w:pPr>
      <w:r>
        <w:rPr>
          <w:bCs/>
          <w:b/>
        </w:rPr>
        <w:t xml:space="preserve">Contribuição pretendida para o artigo futuro.</w:t>
      </w:r>
      <w:r>
        <w:t xml:space="preserve"> </w:t>
      </w:r>
      <w:r>
        <w:t xml:space="preserve">Converter o achado negativo (</w:t>
      </w:r>
      <w:r>
        <w:t xml:space="preserve">“</w:t>
      </w:r>
      <w:r>
        <w:t xml:space="preserve">CLIP não prevê</w:t>
      </w:r>
      <w:r>
        <w:t xml:space="preserve">”</w:t>
      </w:r>
      <w:r>
        <w:t xml:space="preserve">) em um</w:t>
      </w:r>
      <w:r>
        <w:t xml:space="preserve"> </w:t>
      </w:r>
      <w:r>
        <w:rPr>
          <w:bCs/>
          <w:b/>
        </w:rPr>
        <w:t xml:space="preserve">preditor estrutural</w:t>
      </w:r>
      <w:r>
        <w:t xml:space="preserve"> </w:t>
      </w:r>
      <w:r>
        <w:t xml:space="preserve">de transferência, validado por um caso positivo (</w:t>
      </w:r>
      <w:r>
        <w:rPr>
          <w:bCs/>
          <w:b/>
        </w:rPr>
        <w:t xml:space="preserve">ABOShips</w:t>
      </w:r>
      <w:r>
        <w:t xml:space="preserve"> </w:t>
      </w:r>
      <w:r>
        <w:t xml:space="preserve">— o mais compatível estruturalmente, ainda que</w:t>
      </w:r>
      <w:r>
        <w:t xml:space="preserve"> </w:t>
      </w:r>
      <w:r>
        <w:t xml:space="preserve">“</w:t>
      </w:r>
      <w:r>
        <w:t xml:space="preserve">não pareça</w:t>
      </w:r>
      <w:r>
        <w:t xml:space="preserve">”</w:t>
      </w:r>
      <w:r>
        <w:t xml:space="preserve"> </w:t>
      </w:r>
      <w:r>
        <w:t xml:space="preserve">o CITRA) que contrasta com o caso negativo já publicado (InaTechShips), mais a receita operacional de aumento do CITRA-3D.</w:t>
      </w:r>
    </w:p>
    <w:p>
      <w:r>
        <w:pict>
          <v:rect style="width:0;height:1.5pt" o:hralign="center" o:hrstd="t" o:hr="t"/>
        </w:pict>
      </w:r>
    </w:p>
    <w:bookmarkEnd w:id="23"/>
    <w:bookmarkStart w:id="24" w:name="datasets-e-papéis"/>
    <w:p>
      <w:pPr>
        <w:pStyle w:val="Heading2"/>
      </w:pPr>
      <w:r>
        <w:t xml:space="preserve">4. Datasets e papéis</w:t>
      </w:r>
    </w:p>
    <w:p>
      <w:pPr>
        <w:pStyle w:val="BlockText"/>
      </w:pPr>
      <w:r>
        <w:rPr>
          <w:bCs/>
          <w:b/>
        </w:rPr>
        <w:t xml:space="preserve">Papéis definidos empiricamente pelo perfil estrutural (§6.1, executado em 26/06/2026).</w:t>
      </w:r>
      <w:r>
        <w:t xml:space="preserve"> </w:t>
      </w:r>
      <w:r>
        <w:t xml:space="preserve">A medição</w:t>
      </w:r>
      <w:r>
        <w:t xml:space="preserve"> </w:t>
      </w:r>
      <w:r>
        <w:rPr>
          <w:bCs/>
          <w:b/>
        </w:rPr>
        <w:t xml:space="preserve">inverteu a hipótese a-priori</w:t>
      </w:r>
      <w:r>
        <w:t xml:space="preserve">: o ABOShips, e não o SMD, é a fonte estruturalmente mais próxima do CITRA-3D. Os papéis abaixo refletem o ranking de distância medido (ABOShips 0,95 &lt; SMD 1,84 &lt; SeaShips 4,08).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Distância ao CITRA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CITRA-3D-Real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Alvo (treino + teste in-domain)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congelados: 1.348/332/401.</w:t>
            </w:r>
            <w:r>
              <w:t xml:space="preserve"> </w:t>
            </w:r>
            <w:r>
              <w:rPr>
                <w:bCs/>
                <w:b/>
              </w:rPr>
              <w:t xml:space="preserve">Inalterados.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Fonte primária de aumento</w:t>
            </w:r>
            <w:r>
              <w:t xml:space="preserve"> </w:t>
            </w:r>
            <w:r>
              <w:t xml:space="preserve">(real + crops)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0,954</w:t>
            </w:r>
            <w:r>
              <w:t xml:space="preserve"> </w:t>
            </w:r>
            <w:r>
              <w:t xml:space="preserve">(1º)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Câmera</w:t>
            </w:r>
            <w:r>
              <w:t xml:space="preserve"> </w:t>
            </w:r>
            <w:r>
              <w:rPr>
                <w:bCs/>
                <w:b/>
              </w:rPr>
              <w:t xml:space="preserve">móvel</w:t>
            </w:r>
            <w:r>
              <w:t xml:space="preserve"> </w:t>
            </w:r>
            <w:r>
              <w:t xml:space="preserve">(arquipélago finlandês), mas estruturalmente a mais alinhada (escala, densidade, %small). 1280×720. Excluir</w:t>
            </w:r>
            <w:r>
              <w:t xml:space="preserve"> </w:t>
            </w:r>
            <w:r>
              <w:rPr>
                <w:rStyle w:val="VerbatimChar"/>
              </w:rPr>
              <w:t xml:space="preserve">seamark</w:t>
            </w:r>
            <w:r>
              <w:t xml:space="preserve">/</w:t>
            </w:r>
            <w:r>
              <w:rPr>
                <w:rStyle w:val="VerbatimChar"/>
              </w:rPr>
              <w:t xml:space="preserve">miscellaneous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SMD on-shore (VIS)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Fonte secundária de aumento</w:t>
            </w:r>
            <w:r>
              <w:t xml:space="preserve"> </w:t>
            </w:r>
            <w:r>
              <w:t xml:space="preserve">+ coerência com o probe já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1,843 (2º)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Já em YOLO classe única (914 imgs). Afasta-se sobretudo por ser</w:t>
            </w:r>
            <w:r>
              <w:t xml:space="preserve"> </w:t>
            </w:r>
            <w:r>
              <w:rPr>
                <w:bCs/>
                <w:b/>
              </w:rPr>
              <w:t xml:space="preserve">denso demais</w:t>
            </w:r>
            <w:r>
              <w:t xml:space="preserve"> </w:t>
            </w:r>
            <w:r>
              <w:t xml:space="preserve">(7,71 obj/img). Split</w:t>
            </w:r>
            <w:r>
              <w:t xml:space="preserve"> </w:t>
            </w:r>
            <w:r>
              <w:rPr>
                <w:bCs/>
                <w:b/>
              </w:rPr>
              <w:t xml:space="preserve">disjunto por vídeo</w:t>
            </w:r>
            <w:r>
              <w:t xml:space="preserve"> </w:t>
            </w:r>
            <w:r>
              <w:t xml:space="preserve">antes de treinar.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SeaShips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Held-out independente</w:t>
            </w:r>
            <w:r>
              <w:t xml:space="preserve"> </w:t>
            </w:r>
            <w:r>
              <w:t xml:space="preserve">(probe zero-shot de generalização)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4,082 (3º)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Não-SMD</w:t>
            </w:r>
            <w:r>
              <w:t xml:space="preserve">, reservado: jamais em treino/val/tuning. VOC limpo (~7k, sem augmentation). Navios grandes e esparsos → testa um</w:t>
            </w:r>
            <w:r>
              <w:t xml:space="preserve"> </w:t>
            </w:r>
            <w:r>
              <w:rPr>
                <w:bCs/>
                <w:b/>
              </w:rPr>
              <w:t xml:space="preserve">regime estrutural distinto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InaTechShips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Âncora</w:t>
            </w:r>
            <w:r>
              <w:t xml:space="preserve"> </w:t>
            </w:r>
            <w:r>
              <w:t xml:space="preserve">“</w:t>
            </w:r>
            <w:r>
              <w:t xml:space="preserve">longe</w:t>
            </w:r>
            <w:r>
              <w:t xml:space="preserve">”</w:t>
            </w:r>
            <w:r>
              <w:t xml:space="preserve"> </w:t>
            </w:r>
            <w:r>
              <w:t xml:space="preserve">da curva 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≫ (já medido)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A, −4,15. Extremo do eixo de distância.</w:t>
            </w:r>
          </w:p>
        </w:tc>
      </w:tr>
    </w:tbl>
    <w:p>
      <w:pPr>
        <w:pStyle w:val="BodyText"/>
      </w:pPr>
      <w:r>
        <w:t xml:space="preserve">A leitura científica é favorável: a fonte que</w:t>
      </w:r>
      <w:r>
        <w:t xml:space="preserve"> </w:t>
      </w:r>
      <w:r>
        <w:rPr>
          <w:iCs/>
          <w:i/>
        </w:rPr>
        <w:t xml:space="preserve">menos parece</w:t>
      </w:r>
      <w:r>
        <w:t xml:space="preserve"> </w:t>
      </w:r>
      <w:r>
        <w:t xml:space="preserve">o CITRA num olhar de cenário (plataforma móvel, outro continente, outro propósito) é a</w:t>
      </w:r>
      <w:r>
        <w:t xml:space="preserve"> </w:t>
      </w:r>
      <w:r>
        <w:rPr>
          <w:bCs/>
          <w:b/>
        </w:rPr>
        <w:t xml:space="preserve">estruturalmente mais compatível</w:t>
      </w:r>
      <w:r>
        <w:t xml:space="preserve"> </w:t>
      </w:r>
      <w:r>
        <w:t xml:space="preserve">— reforça a tese</w:t>
      </w:r>
      <w:r>
        <w:t xml:space="preserve"> </w:t>
      </w:r>
      <w:r>
        <w:t xml:space="preserve">“</w:t>
      </w:r>
      <w:r>
        <w:t xml:space="preserve">estrutura &gt; aparência</w:t>
      </w:r>
      <w:r>
        <w:t xml:space="preserve">”</w:t>
      </w:r>
      <w:r>
        <w:t xml:space="preserve"> </w:t>
      </w:r>
      <w:r>
        <w:t xml:space="preserve">com um caso positivo novo. Curva de distância para H4:</w:t>
      </w:r>
      <w:r>
        <w:t xml:space="preserve"> </w:t>
      </w:r>
      <w:r>
        <w:rPr>
          <w:bCs/>
          <w:b/>
        </w:rPr>
        <w:t xml:space="preserve">ABOShips (0,95) → SMD (1,84) → SeaShips (4,08) → InaTechShips (≫)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Trade-off registrado (held-out SeaShips).</w:t>
      </w:r>
      <w:r>
        <w:t xml:space="preserve"> </w:t>
      </w:r>
      <w:r>
        <w:t xml:space="preserve">A 4,08, o SeaShips é quase tão distante quanto o InaTechShips; um modelo treinado em embarcações pequenas/densas pode ter mAP zero-shot baixo e pouco discriminativo nele. Mitigações: (i) reportar também AP/AR por tamanho no held-out; (ii) se a separação entre braços for nula, considerar como held-out um</w:t>
      </w:r>
      <w:r>
        <w:t xml:space="preserve"> </w:t>
      </w:r>
      <w:r>
        <w:rPr>
          <w:iCs/>
          <w:i/>
        </w:rPr>
        <w:t xml:space="preserve">split disjunto por vídeo</w:t>
      </w:r>
      <w:r>
        <w:t xml:space="preserve"> </w:t>
      </w:r>
      <w:r>
        <w:t xml:space="preserve">de uma fonte costeira não usada no treino, ou um quarto dataset costeiro (MID/ABOShips-PLUS). Decisão final após o primeiro zero-shot.</w:t>
      </w:r>
    </w:p>
    <w:p>
      <w:r>
        <w:pict>
          <v:rect style="width:0;height:1.5pt" o:hralign="center" o:hrstd="t" o:hr="t"/>
        </w:pict>
      </w:r>
    </w:p>
    <w:bookmarkEnd w:id="24"/>
    <w:bookmarkStart w:id="30" w:name="Xf36fdbf4313d5d704c3d6eb7657513e07f084bd"/>
    <w:p>
      <w:pPr>
        <w:pStyle w:val="Heading2"/>
      </w:pPr>
      <w:r>
        <w:t xml:space="preserve">5. Pré-processamento e protocolo de preparação de dados</w:t>
      </w:r>
    </w:p>
    <w:bookmarkStart w:id="25" w:name="taxonomia"/>
    <w:p>
      <w:pPr>
        <w:pStyle w:val="Heading3"/>
      </w:pPr>
      <w:r>
        <w:t xml:space="preserve">5.1 Taxonomia</w:t>
      </w:r>
    </w:p>
    <w:p>
      <w:pPr>
        <w:pStyle w:val="FirstParagraph"/>
      </w:pPr>
      <w:r>
        <w:t xml:space="preserve">Colapsar todas as anotações para a classe única</w:t>
      </w:r>
      <w:r>
        <w:t xml:space="preserve"> </w:t>
      </w:r>
      <w:r>
        <w:rPr>
          <w:rStyle w:val="VerbatimChar"/>
        </w:rPr>
        <w:t xml:space="preserve">vessel</w:t>
      </w:r>
      <w:r>
        <w:t xml:space="preserve">,</w:t>
      </w:r>
      <w:r>
        <w:t xml:space="preserve"> </w:t>
      </w:r>
      <w:r>
        <w:rPr>
          <w:bCs/>
          <w:b/>
        </w:rPr>
        <w:t xml:space="preserve">idêntico</w:t>
      </w:r>
      <w:r>
        <w:t xml:space="preserve"> </w:t>
      </w:r>
      <w:r>
        <w:t xml:space="preserve">ao que foi feito no probe SMD do artigo. Decisão sobre</w:t>
      </w:r>
      <w:r>
        <w:t xml:space="preserve"> </w:t>
      </w:r>
      <w:r>
        <w:rPr>
          <w:rStyle w:val="VerbatimChar"/>
        </w:rPr>
        <w:t xml:space="preserve">Buoy</w:t>
      </w:r>
      <w:r>
        <w:t xml:space="preserve">/</w:t>
      </w:r>
      <w:r>
        <w:rPr>
          <w:rStyle w:val="VerbatimChar"/>
        </w:rPr>
        <w:t xml:space="preserve">Kayak</w:t>
      </w:r>
      <w:r>
        <w:t xml:space="preserve">/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deve replicar exatamente o mapeamento já usado (documentar a regra final para reprodutibilidade). Excluir classes não-embarcação (</w:t>
      </w:r>
      <w:r>
        <w:rPr>
          <w:rStyle w:val="VerbatimChar"/>
        </w:rPr>
        <w:t xml:space="preserve">Flying bird-plane</w:t>
      </w:r>
      <w:r>
        <w:t xml:space="preserve">).</w:t>
      </w:r>
    </w:p>
    <w:bookmarkEnd w:id="25"/>
    <w:bookmarkStart w:id="26" w:name="filtragem-das-fontes-externas"/>
    <w:p>
      <w:pPr>
        <w:pStyle w:val="Heading3"/>
      </w:pPr>
      <w:r>
        <w:t xml:space="preserve">5.2 Filtragem das fontes externas</w:t>
      </w:r>
    </w:p>
    <w:p>
      <w:pPr>
        <w:pStyle w:val="FirstParagraph"/>
      </w:pPr>
      <w:r>
        <w:rPr>
          <w:bCs/>
          <w:b/>
        </w:rPr>
        <w:t xml:space="preserve">ABOShips (fonte primária):</w:t>
      </w:r>
      <w:r>
        <w:t xml:space="preserve"> </w:t>
      </w:r>
      <w:r>
        <w:t xml:space="preserve">excluir classes não-embarcação (</w:t>
      </w:r>
      <w:r>
        <w:rPr>
          <w:rStyle w:val="VerbatimChar"/>
        </w:rPr>
        <w:t xml:space="preserve">seamark</w:t>
      </w:r>
      <w:r>
        <w:t xml:space="preserve">,</w:t>
      </w:r>
      <w:r>
        <w:t xml:space="preserve"> </w:t>
      </w:r>
      <w:r>
        <w:rPr>
          <w:rStyle w:val="VerbatimChar"/>
        </w:rPr>
        <w:t xml:space="preserve">miscellaneous</w:t>
      </w:r>
      <w:r>
        <w:t xml:space="preserve">); manter os 9 tipos de embarcação colapsados em</w:t>
      </w:r>
      <w:r>
        <w:t xml:space="preserve"> </w:t>
      </w:r>
      <w:r>
        <w:rPr>
          <w:rStyle w:val="VerbatimChar"/>
        </w:rPr>
        <w:t xml:space="preserve">vessel</w:t>
      </w:r>
      <w:r>
        <w:t xml:space="preserve">. Resolução fixa 1280×720. Split disjunto por</w:t>
      </w:r>
      <w:r>
        <w:t xml:space="preserve"> </w:t>
      </w:r>
      <w:r>
        <w:rPr>
          <w:bCs/>
          <w:b/>
        </w:rPr>
        <w:t xml:space="preserve">sequência/origem de captura</w:t>
      </w:r>
      <w:r>
        <w:t xml:space="preserve"> </w:t>
      </w:r>
      <w:r>
        <w:t xml:space="preserve">(não embaralhar frames vizinhos do mesmo trajeto do waterbus). Registrar o confound de viewpoint (câmera móvel).</w:t>
      </w:r>
    </w:p>
    <w:p>
      <w:pPr>
        <w:pStyle w:val="BodyText"/>
      </w:pPr>
      <w:r>
        <w:rPr>
          <w:bCs/>
          <w:b/>
        </w:rPr>
        <w:t xml:space="preserve">SMD on-shore (fonte secundária):</w:t>
      </w:r>
      <w:r>
        <w:t xml:space="preserve"> </w:t>
      </w:r>
      <w:r>
        <w:t xml:space="preserve">- Manter</w:t>
      </w:r>
      <w:r>
        <w:t xml:space="preserve"> </w:t>
      </w:r>
      <w:r>
        <w:rPr>
          <w:bCs/>
          <w:b/>
        </w:rPr>
        <w:t xml:space="preserve">apenas on-shore VIS</w:t>
      </w:r>
      <w:r>
        <w:t xml:space="preserve">. Descartar on-board (</w:t>
      </w:r>
      <w:r>
        <w:rPr>
          <w:rStyle w:val="VerbatimChar"/>
        </w:rPr>
        <w:t xml:space="preserve">_OB_</w:t>
      </w:r>
      <w:r>
        <w:t xml:space="preserve">), NIR e Haze do conjunto de treino principal (o</w:t>
      </w:r>
      <w:r>
        <w:t xml:space="preserve"> </w:t>
      </w:r>
      <w:r>
        <w:rPr>
          <w:rStyle w:val="VerbatimChar"/>
        </w:rPr>
        <w:t xml:space="preserve">smd_clean</w:t>
      </w:r>
      <w:r>
        <w:t xml:space="preserve"> </w:t>
      </w:r>
      <w:r>
        <w:t xml:space="preserve">atual inclui frames</w:t>
      </w:r>
      <w:r>
        <w:t xml:space="preserve"> </w:t>
      </w:r>
      <w:r>
        <w:rPr>
          <w:rStyle w:val="VerbatimChar"/>
        </w:rPr>
        <w:t xml:space="preserve">_Haze_</w:t>
      </w:r>
      <w:r>
        <w:t xml:space="preserve"> </w:t>
      </w:r>
      <w:r>
        <w:t xml:space="preserve">— filtrar para bater com o probe publicado).</w:t>
      </w:r>
      <w:r>
        <w:t xml:space="preserve"> </w:t>
      </w:r>
      <w:r>
        <w:t xml:space="preserve">- Split disjunto por vídeo (</w:t>
      </w:r>
      <w:r>
        <w:rPr>
          <w:rStyle w:val="VerbatimChar"/>
        </w:rPr>
        <w:t xml:space="preserve">MVI_id</w:t>
      </w:r>
      <w:r>
        <w:t xml:space="preserve">), como no §5.3.</w:t>
      </w:r>
    </w:p>
    <w:bookmarkEnd w:id="26"/>
    <w:bookmarkStart w:id="27" w:name="splits-regra-inegociável"/>
    <w:p>
      <w:pPr>
        <w:pStyle w:val="Heading3"/>
      </w:pPr>
      <w:r>
        <w:t xml:space="preserve">5.3 Splits — regra inegociável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Split disjunto por vídeo.</w:t>
      </w:r>
      <w:r>
        <w:t xml:space="preserve"> </w:t>
      </w:r>
      <w:r>
        <w:t xml:space="preserve">O SMD é vídeo; frames do mesmo vídeo são quase-duplicados. Dividir por</w:t>
      </w:r>
      <w:r>
        <w:t xml:space="preserve"> </w:t>
      </w:r>
      <w:r>
        <w:rPr>
          <w:rStyle w:val="VerbatimChar"/>
        </w:rPr>
        <w:t xml:space="preserve">MVI_id</w:t>
      </w:r>
      <w:r>
        <w:t xml:space="preserve">, p.ex. ~24 vídeos → treino / ~12 vídeos → teste,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vídeo compartilhado.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usar os splits pré-fabricados do Roboflow.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Subamostragem temporal</w:t>
      </w:r>
      <w:r>
        <w:t xml:space="preserve"> </w:t>
      </w:r>
      <w:r>
        <w:t xml:space="preserve">para reduzir redundância (mesmo critério do probe atual).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Held-out = SeaShips (decidido no §6.1):</w:t>
      </w:r>
      <w:r>
        <w:t xml:space="preserve"> </w:t>
      </w:r>
      <w:r>
        <w:t xml:space="preserve">reservado integralmente para avaliação zero-shot; jamais usado em treino, validação, tuning ou seleção de modelo. Foi o</w:t>
      </w:r>
      <w:r>
        <w:t xml:space="preserve"> </w:t>
      </w:r>
      <w:r>
        <w:rPr>
          <w:bCs/>
          <w:b/>
        </w:rPr>
        <w:t xml:space="preserve">mais distante entre as fontes não-SMD</w:t>
      </w:r>
      <w:r>
        <w:t xml:space="preserve"> </w:t>
      </w:r>
      <w:r>
        <w:t xml:space="preserve">(4,08), garantindo independência. Atenção ao trade-off do §4 (pode ser distante demais para discriminar braços) — reavaliar após o primeiro zero-shot.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Fontes de aumento = ABOShips (primária) + SMD on-shore (secundária):</w:t>
      </w:r>
      <w:r>
        <w:t xml:space="preserve"> </w:t>
      </w:r>
      <w:r>
        <w:t xml:space="preserve">ABOShips por ser a mais próxima (0,95); SMD por proximidade (1,84) e coerência com o probe publicado. Ambas exigem split disjunto por vídeo/sequência antes do treino.</w:t>
      </w:r>
    </w:p>
    <w:bookmarkEnd w:id="27"/>
    <w:bookmarkStart w:id="28" w:name="anti-vazamento"/>
    <w:p>
      <w:pPr>
        <w:pStyle w:val="Heading3"/>
      </w:pPr>
      <w:r>
        <w:t xml:space="preserve">5.4 Anti-vazamento</w:t>
      </w:r>
    </w:p>
    <w:p>
      <w:pPr>
        <w:pStyle w:val="FirstParagraph"/>
      </w:pPr>
      <w:r>
        <w:t xml:space="preserve">Congelar todos os splits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qualquer geração sintética. Nenhuma imagem/anotação/fundo de teste (CITRA-3D, SMD-test, held-out) pode entrar em qualquer etapa de treino, validação ou geração de crops.</w:t>
      </w:r>
    </w:p>
    <w:bookmarkEnd w:id="28"/>
    <w:bookmarkStart w:id="29" w:name="X199ea31a264e7c79925ef5d5f2c78a4d1ccbba4"/>
    <w:p>
      <w:pPr>
        <w:pStyle w:val="Heading3"/>
      </w:pPr>
      <w:r>
        <w:t xml:space="preserve">5.5 Implementação — decisões e adaptações (registro para reprodutibilidade)</w:t>
      </w:r>
    </w:p>
    <w:p>
      <w:pPr>
        <w:pStyle w:val="FirstParagraph"/>
      </w:pPr>
      <w:r>
        <w:t xml:space="preserve">Adaptações feitas durante a implementação, com justificativa. As duas primeiras são adaptações metodológicas assumidas no texto; a ablação (50 vs. 20 px) fica como</w:t>
      </w:r>
      <w:r>
        <w:t xml:space="preserve"> </w:t>
      </w:r>
      <w:r>
        <w:rPr>
          <w:iCs/>
          <w:i/>
        </w:rPr>
        <w:t xml:space="preserve">future work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Dimensão mínima de crop reduzida de 50 → 20 px.</w:t>
      </w:r>
      <w:r>
        <w:t xml:space="preserve"> </w:t>
      </w:r>
      <w:r>
        <w:t xml:space="preserve">66,3% das caixas do ABOShips têm lado menor &lt; 50 px (mediana 34 px); o filtro original (calibrado para os navios grandes do InaTechShips) descartaria dois terços dos crops. A redução é coerente com a menor escala da fonte e com o domínio-alvo (CITRA, embarcações minúsculas). Efeito:</w:t>
      </w:r>
      <w:r>
        <w:t xml:space="preserve"> </w:t>
      </w:r>
      <w:r>
        <w:rPr>
          <w:iCs/>
          <w:i/>
        </w:rPr>
        <w:t xml:space="preserve">yield</w:t>
      </w:r>
      <w:r>
        <w:t xml:space="preserve"> </w:t>
      </w:r>
      <w:r>
        <w:t xml:space="preserve">de extração 25,8% → 62,8% (18.420 crops).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Filtro de opacidade pós-segmentação</w:t>
      </w:r>
      <w:r>
        <w:t xml:space="preserve"> </w:t>
      </w:r>
      <w:r>
        <w:t xml:space="preserve">(passo novo). Remove crops cuja máscara SAM cobre &lt; 20% da bbox ou com lado &lt; 24 px — ruído mais frequente em embarcações pequenas. Removeu 13,0% (2.389 de 18.405), restando</w:t>
      </w:r>
      <w:r>
        <w:t xml:space="preserve"> </w:t>
      </w:r>
      <w:r>
        <w:rPr>
          <w:bCs/>
          <w:b/>
        </w:rPr>
        <w:t xml:space="preserve">16.016 crops limpos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Composição fiel ao artigo:</w:t>
      </w:r>
      <w:r>
        <w:t xml:space="preserve"> </w:t>
      </w:r>
      <w:r>
        <w:t xml:space="preserve">13 variações × CITRA(train+val) = 21.840 sintéticas; joint balanceado 17.524 real (×13) + 17.524 sintético = 35.048 imgs/época (50/50).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Provisão de labels:</w:t>
      </w:r>
      <w:r>
        <w:t xml:space="preserve"> </w:t>
      </w:r>
      <w:r>
        <w:t xml:space="preserve">os labels operacionais de classe única do CITRA-3D residem em</w:t>
      </w:r>
      <w:r>
        <w:t xml:space="preserve"> </w:t>
      </w:r>
      <w:r>
        <w:rPr>
          <w:rStyle w:val="VerbatimChar"/>
        </w:rPr>
        <w:t xml:space="preserve">labels_single_class/</w:t>
      </w:r>
      <w:r>
        <w:t xml:space="preserve"> </w:t>
      </w:r>
      <w:r>
        <w:t xml:space="preserve">(o diretório</w:t>
      </w:r>
      <w:r>
        <w:t xml:space="preserve"> </w:t>
      </w:r>
      <w:r>
        <w:rPr>
          <w:rStyle w:val="VerbatimChar"/>
        </w:rPr>
        <w:t xml:space="preserve">labels/</w:t>
      </w:r>
      <w:r>
        <w:t xml:space="preserve"> </w:t>
      </w:r>
      <w:r>
        <w:t xml:space="preserve">contém rótulos multi-classe legados); o pipeline usa exclusivamente os de classe única. Detalhes de formato do ABOShips (imagens PNG; CSV com dimensões de bbox, não da imagem; exclusão de</w:t>
      </w:r>
      <w:r>
        <w:t xml:space="preserve"> </w:t>
      </w:r>
      <w:r>
        <w:rPr>
          <w:rStyle w:val="VerbatimChar"/>
        </w:rPr>
        <w:t xml:space="preserve">seamark</w:t>
      </w:r>
      <w:r>
        <w:t xml:space="preserve">/</w:t>
      </w:r>
      <w:r>
        <w:rPr>
          <w:rStyle w:val="VerbatimChar"/>
        </w:rPr>
        <w:t xml:space="preserve">miscellaneous</w:t>
      </w:r>
      <w:r>
        <w:t xml:space="preserve">) documentados no repositório.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passo-zero-perfil-estrutural-sem-treinar"/>
    <w:p>
      <w:pPr>
        <w:pStyle w:val="Heading2"/>
      </w:pPr>
      <w:r>
        <w:t xml:space="preserve">6. Passo zero — perfil estrutural (sem treinar)</w:t>
      </w:r>
    </w:p>
    <w:p>
      <w:pPr>
        <w:pStyle w:val="FirstParagraph"/>
      </w:pPr>
      <w:r>
        <w:t xml:space="preserve">Antes de alocar GPU, computar o</w:t>
      </w:r>
      <w:r>
        <w:t xml:space="preserve"> </w:t>
      </w:r>
      <w:r>
        <w:rPr>
          <w:bCs/>
          <w:b/>
        </w:rPr>
        <w:t xml:space="preserve">perfil estrutural</w:t>
      </w:r>
      <w:r>
        <w:t xml:space="preserve"> </w:t>
      </w:r>
      <w:r>
        <w:t xml:space="preserve">de cada fonte e do candidato a held-out, no mesmo formato da Tabela I do artigo:</w:t>
      </w:r>
    </w:p>
    <w:p>
      <w:pPr>
        <w:numPr>
          <w:ilvl w:val="0"/>
          <w:numId w:val="1006"/>
        </w:numPr>
        <w:pStyle w:val="Compact"/>
      </w:pPr>
      <w:r>
        <w:t xml:space="preserve">mediana da</w:t>
      </w:r>
      <w:r>
        <w:t xml:space="preserve"> </w:t>
      </w:r>
      <w:r>
        <w:rPr>
          <w:bCs/>
          <w:b/>
        </w:rPr>
        <w:t xml:space="preserve">área normalizada</w:t>
      </w:r>
      <w:r>
        <w:t xml:space="preserve"> </w:t>
      </w:r>
      <w:r>
        <w:t xml:space="preserve">da bbox (% da imagem);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objetos por imagem</w:t>
      </w:r>
      <w:r>
        <w:t xml:space="preserve"> </w:t>
      </w:r>
      <w:r>
        <w:t xml:space="preserve">(média);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% de objetos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small</w:t>
      </w:r>
      <w:r>
        <w:rPr>
          <w:bCs/>
          <w:b/>
        </w:rPr>
        <w:t xml:space="preserve">”</w:t>
      </w:r>
      <w:r>
        <w:t xml:space="preserve"> </w:t>
      </w:r>
      <w:r>
        <w:t xml:space="preserve">(convenção COCO, &lt; 32×32 px a 640).</w:t>
      </w:r>
    </w:p>
    <w:p>
      <w:pPr>
        <w:pStyle w:val="FirstParagraph"/>
      </w:pPr>
      <w:r>
        <w:t xml:space="preserve">Plotar todas as fontes no</w:t>
      </w:r>
      <w:r>
        <w:t xml:space="preserve"> </w:t>
      </w:r>
      <w:r>
        <w:rPr>
          <w:bCs/>
          <w:b/>
        </w:rPr>
        <w:t xml:space="preserve">eixo de compatibilidade estrutural</w:t>
      </w:r>
      <w:r>
        <w:t xml:space="preserve"> </w:t>
      </w:r>
      <w:r>
        <w:t xml:space="preserve">(distância ao CITRA-3D). Saídas:</w:t>
      </w:r>
      <w:r>
        <w:t xml:space="preserve"> </w:t>
      </w:r>
      <w:r>
        <w:t xml:space="preserve">1. Tabela comparativa (CITRA-3D vs. SMD on-shore vs. SMD on-board vs. InaTechShips vs. held-out).</w:t>
      </w:r>
      <w:r>
        <w:t xml:space="preserve"> </w:t>
      </w:r>
      <w:r>
        <w:t xml:space="preserve">2. Gráfico do eixo de distância —</w:t>
      </w:r>
      <w:r>
        <w:t xml:space="preserve"> </w:t>
      </w:r>
      <w:r>
        <w:rPr>
          <w:bCs/>
          <w:b/>
        </w:rPr>
        <w:t xml:space="preserve">primeira figura</w:t>
      </w:r>
      <w:r>
        <w:t xml:space="preserve"> </w:t>
      </w:r>
      <w:r>
        <w:t xml:space="preserve">do experimento e gate de decisão: a fonte de aumento deve estar demonstravelmente mais próxima do CITRA-3D que o InaTechShips, senão H1 perde a premissa (confirmado no §6.1: ABOShips e SMD bem mais próximos).</w:t>
      </w:r>
    </w:p>
    <w:p>
      <w:pPr>
        <w:pStyle w:val="BodyText"/>
      </w:pPr>
      <w:r>
        <w:t xml:space="preserve">(Opcional) score escalar de distância</w:t>
      </w:r>
      <w:r>
        <w:t xml:space="preserve"> </w:t>
      </w:r>
      <m:oMath>
        <m:r>
          <m:t>d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fonte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CITRA</m:t>
            </m:r>
          </m:e>
        </m:d>
      </m:oMath>
      <w:r>
        <w:t xml:space="preserve"> </w:t>
      </w:r>
      <w:r>
        <w:t xml:space="preserve">combinando os três eixos (p.ex. razão log da área mediana, razão de densidade, diferença de %small). Apresentar como perfil de 3 eixos + score auxiliar, sem sobre-interpretar com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pequeno de fontes.</w:t>
      </w:r>
    </w:p>
    <w:bookmarkStart w:id="37" w:name="resultados-executado-em-26062026"/>
    <w:p>
      <w:pPr>
        <w:pStyle w:val="Heading3"/>
      </w:pPr>
      <w:r>
        <w:t xml:space="preserve">6.1 Resultados (executado em 26/06/2026)</w:t>
      </w:r>
    </w:p>
    <w:p>
      <w:pPr>
        <w:pStyle w:val="FirstParagraph"/>
      </w:pPr>
      <w:r>
        <w:t xml:space="preserve">Perfil medido sobre os datasets completos, classe única</w:t>
      </w:r>
      <w:r>
        <w:t xml:space="preserve"> </w:t>
      </w:r>
      <w:r>
        <w:rPr>
          <w:rStyle w:val="VerbatimChar"/>
        </w:rPr>
        <w:t xml:space="preserve">vessel</w:t>
      </w:r>
      <w:r>
        <w:t xml:space="preserve"> </w:t>
      </w:r>
      <w:r>
        <w:t xml:space="preserve">(ABOShips com</w:t>
      </w:r>
      <w:r>
        <w:t xml:space="preserve"> </w:t>
      </w:r>
      <w:r>
        <w:rPr>
          <w:rStyle w:val="VerbatimChar"/>
        </w:rPr>
        <w:t xml:space="preserve">seamark</w:t>
      </w:r>
      <w:r>
        <w:t xml:space="preserve">/</w:t>
      </w:r>
      <w:r>
        <w:rPr>
          <w:rStyle w:val="VerbatimChar"/>
        </w:rPr>
        <w:t xml:space="preserve">miscellaneous</w:t>
      </w:r>
      <w:r>
        <w:t xml:space="preserve"> </w:t>
      </w:r>
      <w:r>
        <w:t xml:space="preserve">excluídos; ABOShips a 1280×720; %small = COCO@640):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mediana (norm.)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obj/img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small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CITRA-3D-Real (ref)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SMD on-shore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0,03635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</w:t>
            </w:r>
          </w:p>
        </w:tc>
      </w:tr>
    </w:tbl>
    <w:p>
      <w:pPr>
        <w:pStyle w:val="BodyText"/>
      </w:pPr>
      <w:r>
        <w:t xml:space="preserve">Distância estrutural ao CITRA-3D (adimensional; menor = mais próximo):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d_escala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d_densidade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d_small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distância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SMD on-shore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2,684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4,082</w:t>
            </w:r>
          </w:p>
        </w:tc>
      </w:tr>
    </w:tbl>
    <w:p>
      <w:pPr>
        <w:pStyle w:val="BodyText"/>
      </w:pPr>
      <w:r>
        <w:rPr>
          <w:bCs/>
          <w:b/>
        </w:rPr>
        <w:t xml:space="preserve">Achados.</w:t>
      </w:r>
      <w:r>
        <w:t xml:space="preserve"> </w:t>
      </w:r>
      <w:r>
        <w:t xml:space="preserve">(i)</w:t>
      </w:r>
      <w:r>
        <w:t xml:space="preserve"> </w:t>
      </w:r>
      <w:r>
        <w:rPr>
          <w:bCs/>
          <w:b/>
        </w:rPr>
        <w:t xml:space="preserve">ABOShips é o mais próximo, com folga sobre o SMD</w:t>
      </w:r>
      <w:r>
        <w:t xml:space="preserve"> </w:t>
      </w:r>
      <w:r>
        <w:t xml:space="preserve">(0,95 vs 1,84) — lidera nos três eixos. (ii)</w:t>
      </w:r>
      <w:r>
        <w:t xml:space="preserve"> </w:t>
      </w:r>
      <w:r>
        <w:rPr>
          <w:bCs/>
          <w:b/>
        </w:rPr>
        <w:t xml:space="preserve">SeaShips é outlier</w:t>
      </w:r>
      <w:r>
        <w:t xml:space="preserve"> </w:t>
      </w:r>
      <w:r>
        <w:t xml:space="preserve">(4,08; ~4× o ABOShips): navios grandes, esparsos, ~4% small — o</w:t>
      </w:r>
      <w:r>
        <w:t xml:space="preserve"> </w:t>
      </w:r>
      <w:r>
        <w:t xml:space="preserve">“</w:t>
      </w:r>
      <w:r>
        <w:t xml:space="preserve">InaTechShips deste trio</w:t>
      </w:r>
      <w:r>
        <w:t xml:space="preserve">”</w:t>
      </w:r>
      <w:r>
        <w:t xml:space="preserve">. (iii) O que afasta o</w:t>
      </w:r>
      <w:r>
        <w:t xml:space="preserve"> </w:t>
      </w:r>
      <w:r>
        <w:rPr>
          <w:bCs/>
          <w:b/>
        </w:rPr>
        <w:t xml:space="preserve">SMD</w:t>
      </w:r>
      <w:r>
        <w:t xml:space="preserve"> </w:t>
      </w:r>
      <w:r>
        <w:t xml:space="preserve">é a</w:t>
      </w:r>
      <w:r>
        <w:t xml:space="preserve"> </w:t>
      </w:r>
      <w:r>
        <w:rPr>
          <w:bCs/>
          <w:b/>
        </w:rPr>
        <w:t xml:space="preserve">densidade</w:t>
      </w:r>
      <w:r>
        <w:t xml:space="preserve"> </w:t>
      </w:r>
      <w:r>
        <w:t xml:space="preserve">(7,71 obj/img, denso</w:t>
      </w:r>
      <w:r>
        <w:t xml:space="preserve"> </w:t>
      </w:r>
      <w:r>
        <w:rPr>
          <w:iCs/>
          <w:i/>
        </w:rPr>
        <w:t xml:space="preserve">demais</w:t>
      </w:r>
      <w:r>
        <w:t xml:space="preserve">), não a escala.</w:t>
      </w:r>
      <w:r>
        <w:t xml:space="preserve"> </w:t>
      </w:r>
      <w:r>
        <w:rPr>
          <w:bCs/>
          <w:b/>
        </w:rPr>
        <w:t xml:space="preserve">A medição inverteu a hipótese a-priori</w:t>
      </w:r>
      <w:r>
        <w:t xml:space="preserve"> </w:t>
      </w:r>
      <w:r>
        <w:t xml:space="preserve">(que apostava no SMD como mais próximo) e reposiciona os papéis conforme o §4. Saídas salvas em</w:t>
      </w:r>
      <w:r>
        <w:t xml:space="preserve"> </w:t>
      </w:r>
      <w:r>
        <w:rPr>
          <w:rStyle w:val="VerbatimChar"/>
        </w:rPr>
        <w:t xml:space="preserve">Datasets/_passo_zero/</w:t>
      </w:r>
      <w:r>
        <w:t xml:space="preserve"> </w:t>
      </w:r>
      <w:r>
        <w:t xml:space="preserve">(</w:t>
      </w:r>
      <w:r>
        <w:rPr>
          <w:rStyle w:val="VerbatimChar"/>
        </w:rPr>
        <w:t xml:space="preserve">perfil_estrutural.csv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distancia_citra.csv</w:t>
      </w:r>
      <w:r>
        <w:t xml:space="preserve">, figuras).</w:t>
      </w:r>
    </w:p>
    <w:p>
      <w:pPr>
        <w:pStyle w:val="CaptionedFigure"/>
      </w:pPr>
      <w:r>
        <w:drawing>
          <wp:inline>
            <wp:extent cx="5334000" cy="1646534"/>
            <wp:effectExtent b="0" l="0" r="0" t="0"/>
            <wp:docPr descr="Perfil estrutural por dataset nos três eixos do gap (área mediana, objetos por imagem, %small); CITRA-3D destacado em vermelho. O SeaShips destoa nos três painéis." title="" id="32" name="Picture"/>
            <a:graphic>
              <a:graphicData uri="http://schemas.openxmlformats.org/drawingml/2006/picture">
                <pic:pic>
                  <pic:nvPicPr>
                    <pic:cNvPr descr="fig_perfil_estrutural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6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Perfil estrutural por dataset nos três eixos do gap (área mediana, objetos por imagem, %small); CITRA-3D destacado em vermelho. O SeaShips destoa nos três painéis.</w:t>
      </w:r>
    </w:p>
    <w:p>
      <w:pPr>
        <w:pStyle w:val="BodyText"/>
      </w:pPr>
      <w:r>
        <w:rPr>
          <w:iCs/>
          <w:i/>
        </w:rPr>
        <w:t xml:space="preserve">Figura 1. Perfil estrutural por dataset. CITRA-3D-Real (vermelho) é a referência. SeaShips é o único com navios grandes (área alta) e esparsos (poucos objetos, quase nenhum small); ABOShips e SMD ficam na mesma vizinhança do alvo.</w:t>
      </w:r>
    </w:p>
    <w:p>
      <w:pPr>
        <w:pStyle w:val="CaptionedFigure"/>
      </w:pPr>
      <w:r>
        <w:drawing>
          <wp:inline>
            <wp:extent cx="5334000" cy="2619656"/>
            <wp:effectExtent b="0" l="0" r="0" t="0"/>
            <wp:docPr descr="Distância estrutural composta de cada fonte ao CITRA-3D; menor = mais próximo. ABOShips 0,95, SMD 1,84, SeaShips 4,08." title="" id="35" name="Picture"/>
            <a:graphic>
              <a:graphicData uri="http://schemas.openxmlformats.org/drawingml/2006/picture">
                <pic:pic>
                  <pic:nvPicPr>
                    <pic:cNvPr descr="fig_eixo_compatibilidad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9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Distância estrutural composta de cada fonte ao CITRA-3D; menor = mais próximo. ABOShips 0,95, SMD 1,84, SeaShips 4,08.</w:t>
      </w:r>
    </w:p>
    <w:p>
      <w:pPr>
        <w:pStyle w:val="BodyText"/>
      </w:pPr>
      <w:r>
        <w:rPr>
          <w:iCs/>
          <w:i/>
        </w:rPr>
        <w:t xml:space="preserve">Figura 2. Eixo de compatibilidade estrutural. ABOShips (verde-azulado) é a fonte mais próxima; SeaShips está ~4× mais distante, qualificando-se como held-out independente.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desenho-experimental"/>
    <w:p>
      <w:pPr>
        <w:pStyle w:val="Heading2"/>
      </w:pPr>
      <w:r>
        <w:t xml:space="preserve">7. Desenho experimental</w:t>
      </w:r>
    </w:p>
    <w:p>
      <w:pPr>
        <w:pStyle w:val="FirstParagraph"/>
      </w:pPr>
      <w:r>
        <w:rPr>
          <w:bCs/>
          <w:b/>
        </w:rPr>
        <w:t xml:space="preserve">Protocolo comum (paridade com o artigo):</w:t>
      </w:r>
      <w:r>
        <w:t xml:space="preserve"> </w:t>
      </w:r>
      <w:r>
        <w:t xml:space="preserve">YOLOv11m, inicialização COCO salvo indicado, img 640, AdamW,</w:t>
      </w:r>
      <w:r>
        <w:t xml:space="preserve"> </w:t>
      </w:r>
      <m:oMath>
        <m:r>
          <m:t>l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, momentum 0,937, weight decay 0,0005, batch 16, 300 épocas de fine-tune (patience 30),</w:t>
      </w:r>
      <w:r>
        <w:t xml:space="preserve"> </w:t>
      </w:r>
      <w:r>
        <w:rPr>
          <w:bCs/>
          <w:b/>
        </w:rPr>
        <w:t xml:space="preserve">3 seeds (42, 123, 2024)</w:t>
      </w:r>
      <w:r>
        <w:t xml:space="preserve">, resultados como</w:t>
      </w:r>
      <w:r>
        <w:t xml:space="preserve"> </w:t>
      </w:r>
      <w:r>
        <w:rPr>
          <w:bCs/>
          <w:b/>
        </w:rPr>
        <w:t xml:space="preserve">mean ± std</w:t>
      </w:r>
      <w:r>
        <w:t xml:space="preserve">. Pré-treinos sequenciais: 100 épocas (patience 20).</w:t>
      </w:r>
    </w:p>
    <w:bookmarkStart w:id="39" w:name="braços"/>
    <w:p>
      <w:pPr>
        <w:pStyle w:val="Heading3"/>
      </w:pPr>
      <w:r>
        <w:t xml:space="preserve">7.1 Braços</w:t>
      </w:r>
    </w:p>
    <w:p>
      <w:pPr>
        <w:pStyle w:val="FirstParagraph"/>
      </w:pPr>
      <w:r>
        <w:t xml:space="preserve">Fonte primária =</w:t>
      </w:r>
      <w:r>
        <w:t xml:space="preserve"> </w:t>
      </w:r>
      <w:r>
        <w:rPr>
          <w:bCs/>
          <w:b/>
        </w:rPr>
        <w:t xml:space="preserve">ABOShips</w:t>
      </w:r>
      <w:r>
        <w:t xml:space="preserve"> </w:t>
      </w:r>
      <w:r>
        <w:t xml:space="preserve">(mais próxima, d=0,95); fonte secundária/confirmatória =</w:t>
      </w:r>
      <w:r>
        <w:t xml:space="preserve"> </w:t>
      </w:r>
      <w:r>
        <w:rPr>
          <w:bCs/>
          <w:b/>
        </w:rPr>
        <w:t xml:space="preserve">SMD on-shore</w:t>
      </w:r>
      <w:r>
        <w:t xml:space="preserve"> </w:t>
      </w:r>
      <w:r>
        <w:t xml:space="preserve">(d=1,84). Held-out = SeaShips (não treinado).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B2</w:t>
            </w:r>
            <w:r>
              <w:t xml:space="preserve"> </w:t>
            </w:r>
            <w:r>
              <w:t xml:space="preserve">(ref)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 → CITRA-3D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(já disponível)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 → ABOShips (100 ep) → CITRA-3D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Pré-treino real próximo evita o −4 pp? (espelha o desenho sequencial do Arm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 → CITRA-3D + ABOShips real (joint 50/50)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Co-treino real próximo melhora detecção operacional?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C-joint-SMD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 → CITRA-3D + SMD on-shore real (joint 50/50)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(confirm.)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 H2 com 2ª fonte próxima; coerência com probe publicado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A′joint+ABO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 → CITRA-3D + sintético (crops do ABOShips), joint 50/50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é source-agnostic com a fonte mais próxima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A′joint+far</w:t>
            </w:r>
            <w:r>
              <w:t xml:space="preserve"> </w:t>
            </w:r>
            <w:r>
              <w:rPr>
                <w:iCs/>
                <w:i/>
              </w:rPr>
              <w:t xml:space="preserve">(opc.)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idem, crops de fonte</w:t>
            </w:r>
            <w:r>
              <w:t xml:space="preserve"> </w:t>
            </w:r>
            <w:r>
              <w:rPr>
                <w:bCs/>
                <w:b/>
              </w:rPr>
              <w:t xml:space="preserve">distante</w:t>
            </w:r>
            <w:r>
              <w:t xml:space="preserve"> </w:t>
            </w:r>
            <w:r>
              <w:t xml:space="preserve">(SeaShips/InaTechShips)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H3/H4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 de domínio-distante vs. próximo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C-vol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 → CITRA-3D oversampled ×N (sem fonte externa)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 volume de domínio (análogo ao B2-long)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C-all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COCO → CITRA-3D + ABOShips real + SMD real + sintético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operacional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 final</w:t>
            </w:r>
            <w:r>
              <w:t xml:space="preserve"> </w:t>
            </w:r>
            <w:r>
              <w:t xml:space="preserve">para monitoramento (melhor receita)</w:t>
            </w:r>
          </w:p>
        </w:tc>
      </w:tr>
    </w:tbl>
    <w:p>
      <w:pPr>
        <w:pStyle w:val="BodyText"/>
      </w:pPr>
      <w:r>
        <w:t xml:space="preserve">Pontos para a curva H4 (distância → Δ-transferência):</w:t>
      </w:r>
      <w:r>
        <w:t xml:space="preserve"> </w:t>
      </w:r>
      <w:r>
        <w:rPr>
          <w:bCs/>
          <w:b/>
        </w:rPr>
        <w:t xml:space="preserve">C-pre/C-joint com ABOShips</w:t>
      </w:r>
      <w:r>
        <w:t xml:space="preserve"> </w:t>
      </w:r>
      <w:r>
        <w:t xml:space="preserve">(0,95) e</w:t>
      </w:r>
      <w:r>
        <w:t xml:space="preserve"> </w:t>
      </w:r>
      <w:r>
        <w:rPr>
          <w:bCs/>
          <w:b/>
        </w:rPr>
        <w:t xml:space="preserve">com SMD</w:t>
      </w:r>
      <w:r>
        <w:t xml:space="preserve"> </w:t>
      </w:r>
      <w:r>
        <w:t xml:space="preserve">(1,84), mais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(InaTechShips ≫, −4,15, já medido). Os três ancoram a curva preditora (Fig. 2 estendida no artigo).</w:t>
      </w:r>
      <w:r>
        <w:t xml:space="preserve"> </w:t>
      </w:r>
      <w:r>
        <w:rPr>
          <w:bCs/>
          <w:b/>
        </w:rPr>
        <w:t xml:space="preserve">Confound a registrar:</w:t>
      </w:r>
      <w:r>
        <w:t xml:space="preserve"> </w:t>
      </w:r>
      <w:r>
        <w:t xml:space="preserve">o ABOShips é câmera móvel — se ajudar, reforça que o driver é estrutural, não de cenário; controlar reportando também o SMD (fixo costeiro) como segunda fonte próxima.</w:t>
      </w:r>
    </w:p>
    <w:bookmarkEnd w:id="39"/>
    <w:bookmarkStart w:id="40" w:name="razão-de-mistura"/>
    <w:p>
      <w:pPr>
        <w:pStyle w:val="Heading3"/>
      </w:pPr>
      <w:r>
        <w:t xml:space="preserve">7.2 Razão de mistura</w:t>
      </w:r>
    </w:p>
    <w:p>
      <w:pPr>
        <w:pStyle w:val="FirstParagraph"/>
      </w:pPr>
      <w:r>
        <w:t xml:space="preserve">Para C-joint e os A′joint, manter o regime balanceado 50/50 do artigo. Se o tamanho do conjunto de treino da fonte externa (ABOShips ou SMD) divergir muito do CITRA-3D-train, usar oversampling para equilibrar (documentar o fator, como nos ×13 originais). Investigar a razão ótima real:sintético fica como sub-análise opcional (mencionada como future work no artigo atual).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valiação-e-análise-estatística"/>
    <w:p>
      <w:pPr>
        <w:pStyle w:val="Heading2"/>
      </w:pPr>
      <w:r>
        <w:t xml:space="preserve">8. Avaliação e análise estatística</w:t>
      </w:r>
    </w:p>
    <w:p>
      <w:pPr>
        <w:pStyle w:val="FirstParagraph"/>
      </w:pPr>
      <w:r>
        <w:rPr>
          <w:bCs/>
          <w:b/>
        </w:rPr>
        <w:t xml:space="preserve">Conjuntos de avaliação: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In-domain (primário operacional):</w:t>
      </w:r>
      <w:r>
        <w:t xml:space="preserve"> </w:t>
      </w:r>
      <w:r>
        <w:t xml:space="preserve">teste CITRA-3D (401 imagens). Métricas: mAP50, mAP50-95, Precision, Recall, F1 (IoU 0,5), e</w:t>
      </w:r>
      <w:r>
        <w:t xml:space="preserve"> </w:t>
      </w:r>
      <w:r>
        <w:rPr>
          <w:bCs/>
          <w:b/>
        </w:rPr>
        <w:t xml:space="preserve">AP/AR por tamanho</w:t>
      </w:r>
      <w:r>
        <w:t xml:space="preserve"> </w:t>
      </w:r>
      <w:r>
        <w:t xml:space="preserve">(small/medium/large, COCO).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Cross-domain held-out (generalização):</w:t>
      </w:r>
      <w:r>
        <w:t xml:space="preserve"> </w:t>
      </w:r>
      <w:r>
        <w:t xml:space="preserve">novo dataset não-SMD, zero-shot, sem qualquer adaptação.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(Diagnóstico H4):</w:t>
      </w:r>
      <w:r>
        <w:t xml:space="preserve"> </w:t>
      </w:r>
      <w:r>
        <w:t xml:space="preserve">Δ mAP50 vs. distância estrutural entre as fontes.</w:t>
      </w:r>
    </w:p>
    <w:p>
      <w:pPr>
        <w:pStyle w:val="BodyText"/>
      </w:pPr>
      <w:r>
        <w:rPr>
          <w:bCs/>
          <w:b/>
        </w:rPr>
        <w:t xml:space="preserve">Convenções estatísticas (idênticas ao artigo):</w:t>
      </w:r>
      <w:r>
        <w:t xml:space="preserve"> </w:t>
      </w:r>
      <w:r>
        <w:t xml:space="preserve">- Reportar</w:t>
      </w:r>
      <w:r>
        <w:t xml:space="preserve"> </w:t>
      </w:r>
      <w:r>
        <w:rPr>
          <w:bCs/>
          <w:b/>
        </w:rPr>
        <w:t xml:space="preserve">mean ± std</w:t>
      </w:r>
      <w:r>
        <w:t xml:space="preserve"> </w:t>
      </w:r>
      <w:r>
        <w:t xml:space="preserve">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seeds.</w:t>
      </w:r>
      <w:r>
        <w:t xml:space="preserve"> </w:t>
      </w:r>
      <w:r>
        <w:t xml:space="preserve">- Para alegar separação, usar</w:t>
      </w:r>
      <w:r>
        <w:t xml:space="preserve"> </w:t>
      </w:r>
      <w:r>
        <w:rPr>
          <w:bCs/>
          <w:b/>
        </w:rPr>
        <w:t xml:space="preserve">faixas mean ± std não sobrepostas</w:t>
      </w:r>
      <w:r>
        <w:t xml:space="preserve">;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usar</w:t>
      </w:r>
      <w:r>
        <w:t xml:space="preserve"> </w:t>
      </w:r>
      <w:r>
        <w:t xml:space="preserve">“</w:t>
      </w:r>
      <w:r>
        <w:t xml:space="preserve">intervalos de confiança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estatisticamente significativo</w:t>
      </w:r>
      <w:r>
        <w:t xml:space="preserve">”</w:t>
      </w:r>
      <w:r>
        <w:t xml:space="preserve"> </w:t>
      </w:r>
      <w:r>
        <w:t xml:space="preserve">nem</w:t>
      </w:r>
      <w:r>
        <w:t xml:space="preserve"> </w:t>
      </w:r>
      <w:r>
        <w:t xml:space="preserve">“</w:t>
      </w:r>
      <w:r>
        <w:t xml:space="preserve">estatisticamente equivalente</w:t>
      </w:r>
      <w:r>
        <w:t xml:space="preserve">”</w:t>
      </w:r>
      <w:r>
        <w:t xml:space="preserve"> </w:t>
      </w:r>
      <w:r>
        <w:t xml:space="preserve">como prova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- Recall reportado como</w:t>
      </w:r>
      <w:r>
        <w:t xml:space="preserve"> </w:t>
      </w:r>
      <w:r>
        <w:t xml:space="preserve">“</w:t>
      </w:r>
      <w:r>
        <w:t xml:space="preserve">+X pp; +Y% relativo</w:t>
      </w:r>
      <w:r>
        <w:t xml:space="preserve">”</w:t>
      </w:r>
      <w:r>
        <w:t xml:space="preserve">.</w:t>
      </w:r>
      <w:r>
        <w:t xml:space="preserve"> </w:t>
      </w:r>
      <w:r>
        <w:t xml:space="preserve">- Linguagem:</w:t>
      </w:r>
      <w:r>
        <w:t xml:space="preserve"> </w:t>
      </w:r>
      <w:r>
        <w:t xml:space="preserve">“</w:t>
      </w:r>
      <w:r>
        <w:t xml:space="preserve">degradação tipo-esquecimento</w:t>
      </w:r>
      <w:r>
        <w:t xml:space="preserve">”</w:t>
      </w:r>
      <w:r>
        <w:t xml:space="preserve"> </w:t>
      </w:r>
      <w:r>
        <w:t xml:space="preserve">(não</w:t>
      </w:r>
      <w:r>
        <w:t xml:space="preserve"> </w:t>
      </w:r>
      <w:r>
        <w:t xml:space="preserve">“</w:t>
      </w:r>
      <w:r>
        <w:t xml:space="preserve">esquecimento catastrófico</w:t>
      </w:r>
      <w:r>
        <w:t xml:space="preserve">”</w:t>
      </w:r>
      <w:r>
        <w:t xml:space="preserve">);</w:t>
      </w:r>
      <w:r>
        <w:t xml:space="preserve"> </w:t>
      </w:r>
      <w:r>
        <w:t xml:space="preserve">“</w:t>
      </w:r>
      <w:r>
        <w:t xml:space="preserve">operacionalmente relevante</w:t>
      </w:r>
      <w:r>
        <w:t xml:space="preserve">”</w:t>
      </w:r>
      <w:r>
        <w:t xml:space="preserve"> </w:t>
      </w:r>
      <w:r>
        <w:t xml:space="preserve">(não</w:t>
      </w:r>
      <w:r>
        <w:t xml:space="preserve"> </w:t>
      </w:r>
      <w:r>
        <w:t xml:space="preserve">“</w:t>
      </w:r>
      <w:r>
        <w:t xml:space="preserve">operacionalmente significativo</w:t>
      </w:r>
      <w:r>
        <w:t xml:space="preserve">”</w:t>
      </w:r>
      <w:r>
        <w:t xml:space="preserve">).</w:t>
      </w:r>
      <w:r>
        <w:t xml:space="preserve"> </w:t>
      </w:r>
      <w:r>
        <w:t xml:space="preserve">- Se o compute permitir, considerar</w:t>
      </w:r>
      <w:r>
        <w:t xml:space="preserve"> </w:t>
      </w:r>
      <w:r>
        <w:rPr>
          <w:bCs/>
          <w:b/>
        </w:rPr>
        <w:t xml:space="preserve">5 seeds</w:t>
      </w:r>
      <w:r>
        <w:t xml:space="preserve"> </w:t>
      </w:r>
      <w:r>
        <w:t xml:space="preserve">nos braços-chave (B2, C-joint, A′joint+ABO) para robustez — decisão a alinhar com o supervisor.</w:t>
      </w:r>
    </w:p>
    <w:p>
      <w:r>
        <w:pict>
          <v:rect style="width:0;height:1.5pt" o:hralign="center" o:hrstd="t" o:hr="t"/>
        </w:pict>
      </w:r>
    </w:p>
    <w:bookmarkEnd w:id="42"/>
    <w:bookmarkStart w:id="43" w:name="Xcee9d1bb270577309576471416559016d3cb2c7"/>
    <w:p>
      <w:pPr>
        <w:pStyle w:val="Heading2"/>
      </w:pPr>
      <w:r>
        <w:t xml:space="preserve">8.5 Resultados obtidos — experimento núcleo (A′joint+ABO)</w:t>
      </w:r>
    </w:p>
    <w:p>
      <w:pPr>
        <w:pStyle w:val="FirstParagraph"/>
      </w:pPr>
      <w:r>
        <w:t xml:space="preserve">Executado com 3 seeds (42, 123, 2024), teste in-domain do CITRA-3D (401 imagens),</w:t>
      </w:r>
      <w:r>
        <w:t xml:space="preserve"> </w:t>
      </w:r>
      <w:r>
        <w:t xml:space="preserve">protocolo idêntico ao artigo (YOLOv11m, COCO→CITRA, AdamW, 300 ep, patience 30).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Braço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mAP50-95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 (baseline)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0,8315 ± 0,0029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0,4995 ± 0,0074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0,7795 ± 0,0080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A′joint+ABO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0,8384 ± 0,0023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0,5108 ± 0,0016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0,7946 ± 0,0016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+0,69 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+1,13 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+1,51 pp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 dos resultados: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A′joint+ABO supera o B2 nos três seeds</w:t>
      </w:r>
      <w:r>
        <w:t xml:space="preserve"> </w:t>
      </w:r>
      <w:r>
        <w:t xml:space="preserve">(Δ mAP50 = +1,38, +0,46, +0,22 pp) — ganho consistente, não artefato de um seed.</w:t>
      </w:r>
      <w:r>
        <w:t xml:space="preserve"> </w:t>
      </w:r>
      <w:r>
        <w:t xml:space="preserve">- O</w:t>
      </w:r>
      <w:r>
        <w:t xml:space="preserve"> </w:t>
      </w:r>
      <w:r>
        <w:rPr>
          <w:bCs/>
          <w:b/>
        </w:rPr>
        <w:t xml:space="preserve">desvio-padrão do braço aumentado é menor</w:t>
      </w:r>
      <w:r>
        <w:t xml:space="preserve"> </w:t>
      </w:r>
      <w:r>
        <w:t xml:space="preserve">que o do baseline (±0,0023 vs. ±0,0029), indicando maior</w:t>
      </w:r>
      <w:r>
        <w:t xml:space="preserve"> </w:t>
      </w:r>
      <w:r>
        <w:rPr>
          <w:bCs/>
          <w:b/>
        </w:rPr>
        <w:t xml:space="preserve">estabilidade</w:t>
      </w:r>
      <w:r>
        <w:t xml:space="preserve"> </w:t>
      </w:r>
      <w:r>
        <w:t xml:space="preserve">além da média.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B2 reproduz o baseline do artigo</w:t>
      </w:r>
      <w:r>
        <w:t xml:space="preserve"> </w:t>
      </w:r>
      <w:r>
        <w:t xml:space="preserve">(0,8315 ≈ 0,835), validando a fidelidade do pipeline e a justiça da comparação.</w:t>
      </w:r>
      <w:r>
        <w:t xml:space="preserve"> </w:t>
      </w:r>
      <w:r>
        <w:t xml:space="preserve">- Ganho concentrado em</w:t>
      </w:r>
      <w:r>
        <w:t xml:space="preserve"> </w:t>
      </w:r>
      <w:r>
        <w:rPr>
          <w:bCs/>
          <w:b/>
        </w:rPr>
        <w:t xml:space="preserve">Recall (+1,51 pp)</w:t>
      </w:r>
      <w:r>
        <w:t xml:space="preserve"> </w:t>
      </w:r>
      <w:r>
        <w:t xml:space="preserve">sem perda de Precision — aumento</w:t>
      </w:r>
      <w:r>
        <w:t xml:space="preserve"> </w:t>
      </w:r>
      <w:r>
        <w:t xml:space="preserve">“</w:t>
      </w:r>
      <w:r>
        <w:t xml:space="preserve">limpo</w:t>
      </w:r>
      <w:r>
        <w:t xml:space="preserve">”</w:t>
      </w:r>
      <w:r>
        <w:t xml:space="preserve">, operacionalmente relevante para vigilância (menos embarcações não-detectadas sem inflar falsos positivos).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Comparação com o artigo original:</w:t>
      </w:r>
      <w:r>
        <w:t xml:space="preserve"> </w:t>
      </w:r>
      <w:r>
        <w:t xml:space="preserve">A′joint com InaTechShips (distância ≫) rendeu +1,00 pp mAP50; A′joint+ABO com ABOShips (distância 0,95) rende +0,69 pp mAP50 mas +1,51 pp de Recall. Com o caso positivo (fonte próxima ajuda) somado ao caso negativo já publicado (fonte distante causa transferência negativa), obtêm-se</w:t>
      </w:r>
      <w:r>
        <w:t xml:space="preserve"> </w:t>
      </w:r>
      <w:r>
        <w:rPr>
          <w:bCs/>
          <w:b/>
        </w:rPr>
        <w:t xml:space="preserve">dois pontos ancorando a curva preditora</w:t>
      </w:r>
      <w:r>
        <w:t xml:space="preserve"> </w:t>
      </w:r>
      <w:r>
        <w:t xml:space="preserve">(§H4): a compatibilidade estrutural, não a similaridade visual, prediz a utilidade da fonte.</w:t>
      </w:r>
    </w:p>
    <w:p>
      <w:pPr>
        <w:pStyle w:val="BodyText"/>
      </w:pPr>
      <w:r>
        <w:rPr>
          <w:iCs/>
          <w:i/>
        </w:rPr>
        <w:t xml:space="preserve">Nota de convergência:</w:t>
      </w:r>
      <w:r>
        <w:t xml:space="preserve"> </w:t>
      </w:r>
      <w:r>
        <w:t xml:space="preserve">o braço joint treina com 35.048 imagens/época (13× o B2) e converge em ~12–15 épocas (early stopping ~42–45), pois cada época é ~13× mais rica em dados. Comportamento esperado.</w:t>
      </w:r>
    </w:p>
    <w:p>
      <w:r>
        <w:pict>
          <v:rect style="width:0;height:1.5pt" o:hralign="center" o:hrstd="t" o:hr="t"/>
        </w:pict>
      </w:r>
    </w:p>
    <w:bookmarkEnd w:id="43"/>
    <w:bookmarkStart w:id="44" w:name="X7f29a382a10b88a964ec1e66131c0d48fbc75b7"/>
    <w:p>
      <w:pPr>
        <w:pStyle w:val="Heading2"/>
      </w:pPr>
      <w:r>
        <w:t xml:space="preserve">9. Mapeamento hipótese → resultado esperado → uso no artigo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Hipótese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que confirma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entra no artigo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C-pre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cai ~−4 pp (≈ B2 ou acima), em contraste com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de transferência: caso</w:t>
            </w:r>
            <w:r>
              <w:t xml:space="preserve"> </w:t>
            </w:r>
            <w:r>
              <w:rPr>
                <w:iCs/>
                <w:i/>
              </w:rPr>
              <w:t xml:space="preserve">positivo</w:t>
            </w:r>
            <w:r>
              <w:t xml:space="preserve"> </w:t>
            </w:r>
            <w:r>
              <w:t xml:space="preserve">que isola estrutura como causa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C-joint &gt; B2, ganho em Recall/AR_small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Resultados operacionais; reforça relevância para vigilância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A′joint+ABO ≈ A′joint (&gt; B2)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que o método é source-agnostic; generaliza a contribuição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Δ-transferência monótono na distância estrutural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Nova figura-síntese</w:t>
            </w:r>
            <w:r>
              <w:t xml:space="preserve"> </w:t>
            </w:r>
            <w:r>
              <w:t xml:space="preserve">(preditor); núcleo da extensão de periódico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Generalização preservada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C-all mantém/eleva mAP50 no held-out não-SMD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o papel que o SMD tinha como probe</w:t>
            </w:r>
          </w:p>
        </w:tc>
      </w:tr>
    </w:tbl>
    <w:p>
      <w:pPr>
        <w:pStyle w:val="BodyText"/>
      </w:pPr>
      <w:r>
        <w:t xml:space="preserve">Cenários</w:t>
      </w:r>
      <w:r>
        <w:t xml:space="preserve"> </w:t>
      </w:r>
      <w:r>
        <w:rPr>
          <w:bCs/>
          <w:b/>
        </w:rPr>
        <w:t xml:space="preserve">negativos também são publicáveis</w:t>
      </w:r>
      <w:r>
        <w:t xml:space="preserve">: se C-joint/C-pre falharem apesar da proximidade estrutural, isso refina o preditor (proximidade necessária mas não suficiente; o regime de treino continua decisivo, consistente com o achado atual).</w:t>
      </w:r>
    </w:p>
    <w:p>
      <w:r>
        <w:pict>
          <v:rect style="width:0;height:1.5pt" o:hralign="center" o:hrstd="t" o:hr="t"/>
        </w:pict>
      </w:r>
    </w:p>
    <w:bookmarkEnd w:id="44"/>
    <w:bookmarkStart w:id="45" w:name="riscos-e-mitigações"/>
    <w:p>
      <w:pPr>
        <w:pStyle w:val="Heading2"/>
      </w:pPr>
      <w:r>
        <w:t xml:space="preserve">10. Riscos e mitigações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Contaminação do probe SMD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SMD vira fonte de treino</w:t>
            </w:r>
            <w:r>
              <w:t xml:space="preserve"> </w:t>
            </w:r>
            <w:r>
              <w:rPr>
                <w:bCs/>
                <w:b/>
              </w:rPr>
              <w:t xml:space="preserve">apenas</w:t>
            </w:r>
            <w:r>
              <w:t xml:space="preserve"> </w:t>
            </w:r>
            <w:r>
              <w:t xml:space="preserve">com novo held-out independente; resultado SMD antigo é reportado como pertencente à versão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Vazamento entre splits do Roboflow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Reconstruir do SMD original; split disjunto por vídeo; nunca usar splits pré-fabricados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SMD on-shore</w:t>
            </w:r>
            <w:r>
              <w:t xml:space="preserve"> </w:t>
            </w:r>
            <w:r>
              <w:t xml:space="preserve">“</w:t>
            </w:r>
            <w:r>
              <w:t xml:space="preserve">próximo demais</w:t>
            </w:r>
            <w:r>
              <w:t xml:space="preserve">”</w:t>
            </w:r>
            <w:r>
              <w:t xml:space="preserve"> </w:t>
            </w:r>
            <w:r>
              <w:t xml:space="preserve">→ ganho trivial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Reportar honestamente; o valor está no preditor estrutural e na receita operacional, não na magnitude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Diferença de viewpoint (mesmo on-shore) reduz ganho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 informativo para H4; documentar como ponto da curva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Taxonomia inconsistente entre datasets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única de colapso</w:t>
            </w:r>
            <w:r>
              <w:t xml:space="preserve"> </w:t>
            </w:r>
            <w:r>
              <w:rPr>
                <w:rStyle w:val="VerbatimChar"/>
              </w:rPr>
              <w:t xml:space="preserve">vessel</w:t>
            </w:r>
            <w:r>
              <w:t xml:space="preserve">, documentada e idêntica ao probe 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de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Reaproveitar B2 e A existentes; rodar primeiro o gate barato do §6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recursos-e-estimativa-de-compute"/>
    <w:p>
      <w:pPr>
        <w:pStyle w:val="Heading2"/>
      </w:pPr>
      <w:r>
        <w:t xml:space="preserve">11. Recursos e estimativa de compute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Infra:</w:t>
      </w:r>
      <w:r>
        <w:t xml:space="preserve"> </w:t>
      </w:r>
      <w:r>
        <w:t xml:space="preserve">Google Colab Pro+ (NVIDIA A100); Google Drive persistente (</w:t>
      </w:r>
      <w:r>
        <w:rPr>
          <w:rStyle w:val="VerbatimChar"/>
        </w:rPr>
        <w:t xml:space="preserve">/content/drive/MyDrive/PROJETO_MARINHA/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Ultralytics YOLOv11m; pycocotools para AP/AR por tamanho.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Estimativa:</w:t>
      </w:r>
      <w:r>
        <w:t xml:space="preserve"> </w:t>
      </w:r>
      <w:r>
        <w:t xml:space="preserve">comparável ao experimento A-scale adiado (~20–30 h A100 para o conjunto completo de braços × 3 seeds), excluindo o passo zero (profiling, custo desprezível, sem GPU).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Atenção operacional:</w:t>
      </w:r>
      <w:r>
        <w:t xml:space="preserve"> </w:t>
      </w:r>
      <w:r>
        <w:t xml:space="preserve">datasets locais combinados no Colab são efêmeros; recriar antes de retomar treinos após desconexão.</w:t>
      </w:r>
    </w:p>
    <w:p>
      <w:r>
        <w:pict>
          <v:rect style="width:0;height:1.5pt" o:hralign="center" o:hrstd="t" o:hr="t"/>
        </w:pict>
      </w:r>
    </w:p>
    <w:bookmarkEnd w:id="46"/>
    <w:bookmarkStart w:id="47" w:name="estado-atual-e-próximos-passos"/>
    <w:p>
      <w:pPr>
        <w:pStyle w:val="Heading2"/>
      </w:pPr>
      <w:r>
        <w:t xml:space="preserve">12. Estado atual e próximos passos</w:t>
      </w:r>
    </w:p>
    <w:p>
      <w:pPr>
        <w:pStyle w:val="FirstParagraph"/>
      </w:pPr>
      <w:r>
        <w:rPr>
          <w:bCs/>
          <w:b/>
        </w:rPr>
        <w:t xml:space="preserve">Concluído:</w:t>
      </w:r>
      <w:r>
        <w:t xml:space="preserve"> </w:t>
      </w:r>
      <w:r>
        <w:t xml:space="preserve">- ✅ Passo zero (perfil estrutural) — papéis definidos por distância; autorização do Cmte. Moreira obtida.</w:t>
      </w:r>
      <w:r>
        <w:t xml:space="preserve"> </w:t>
      </w:r>
      <w:r>
        <w:t xml:space="preserve">- ✅ Splits disjuntos (§5) + composição sintética (SAM/ABOShips).</w:t>
      </w:r>
      <w:r>
        <w:t xml:space="preserve"> </w:t>
      </w:r>
      <w:r>
        <w:t xml:space="preserve">- ✅</w:t>
      </w:r>
      <w:r>
        <w:t xml:space="preserve"> </w:t>
      </w:r>
      <w:r>
        <w:rPr>
          <w:bCs/>
          <w:b/>
        </w:rPr>
        <w:t xml:space="preserve">Experimento núcleo (§8.5):</w:t>
      </w:r>
      <w:r>
        <w:t xml:space="preserve"> </w:t>
      </w:r>
      <w:r>
        <w:t xml:space="preserve">B2 vs. A′joint+ABO, 3 seeds — A′joint+ABO supera o baseline consistentemente (+0,69 pp mAP50, +1,51 pp Recall).</w:t>
      </w:r>
    </w:p>
    <w:p>
      <w:pPr>
        <w:pStyle w:val="BodyText"/>
      </w:pPr>
      <w:r>
        <w:rPr>
          <w:bCs/>
          <w:b/>
        </w:rPr>
        <w:t xml:space="preserve">Próximos passos (ordem de valor):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C-pre e C-joint</w:t>
      </w:r>
      <w:r>
        <w:t xml:space="preserve"> </w:t>
      </w:r>
      <w:r>
        <w:t xml:space="preserve">(H1/H2) — testam ABOShips real (pré-treino / co-treino sem síntese); populam os pontos intermediários da curva H4. Requerem ABOShips extraído.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Avaliação zero-shot no held-out</w:t>
      </w:r>
      <w:r>
        <w:t xml:space="preserve"> </w:t>
      </w:r>
      <w:r>
        <w:t xml:space="preserve">(SeaShips) — mede generalização; requer o VOC com anotações (Annotations/XML).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Curva H4</w:t>
      </w:r>
      <w:r>
        <w:t xml:space="preserve"> </w:t>
      </w:r>
      <w:r>
        <w:t xml:space="preserve">— consolidar Δ-transferência × distância (ABOShips 0,95; SMD 1,84; InaTechShips ≫) na figura-síntese.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5 seeds</w:t>
      </w:r>
      <w:r>
        <w:t xml:space="preserve"> </w:t>
      </w:r>
      <w:r>
        <w:t xml:space="preserve">nos braços-chave, se o compute permitir.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Licenciamento/citação</w:t>
      </w:r>
      <w:r>
        <w:t xml:space="preserve"> </w:t>
      </w:r>
      <w:r>
        <w:t xml:space="preserve">— SMD (Prasad et al., 2017), ABOShips (Zenodo, CC BY 4.0), InaTechShips (Teixeira et al., Ocean Engineering 2025); não citar re-uploads do Roboflow.</w:t>
      </w:r>
    </w:p>
    <w:p>
      <w:pPr>
        <w:pStyle w:val="BodyText"/>
      </w:pPr>
      <w:r>
        <w:rPr>
          <w:bCs/>
          <w:b/>
        </w:rPr>
        <w:t xml:space="preserve">Sequência:</w:t>
      </w:r>
      <w:r>
        <w:t xml:space="preserve"> </w:t>
      </w:r>
      <w:r>
        <w:t xml:space="preserve">núcleo ✅ → C-pre/C-joint (H1/H2) → held-out (generalização) → curva H4 → consolidar artigo.</w:t>
      </w:r>
    </w:p>
    <w:p>
      <w:r>
        <w:pict>
          <v:rect style="width:0;height:1.5pt" o:hralign="center" o:hrstd="t" o:hr="t"/>
        </w:pict>
      </w:r>
    </w:p>
    <w:bookmarkEnd w:id="47"/>
    <w:bookmarkStart w:id="48" w:name="referências-de-apoio"/>
    <w:p>
      <w:pPr>
        <w:pStyle w:val="Heading2"/>
      </w:pPr>
      <w:r>
        <w:t xml:space="preserve">13. Referências de apoio</w:t>
      </w:r>
    </w:p>
    <w:p>
      <w:pPr>
        <w:numPr>
          <w:ilvl w:val="0"/>
          <w:numId w:val="1008"/>
        </w:numPr>
        <w:pStyle w:val="Compact"/>
      </w:pPr>
      <w:r>
        <w:t xml:space="preserve">Teixeira, E. H. et al. </w:t>
      </w:r>
      <w:r>
        <w:rPr>
          <w:iCs/>
          <w:i/>
        </w:rPr>
        <w:t xml:space="preserve">InaTechShips.</w:t>
      </w:r>
      <w:r>
        <w:t xml:space="preserve"> </w:t>
      </w:r>
      <w:r>
        <w:t xml:space="preserve">Ocean Engineering, 326:120823, 2025.</w:t>
      </w:r>
    </w:p>
    <w:p>
      <w:pPr>
        <w:numPr>
          <w:ilvl w:val="0"/>
          <w:numId w:val="1008"/>
        </w:numPr>
        <w:pStyle w:val="Compact"/>
      </w:pPr>
      <w:r>
        <w:t xml:space="preserve">Prasad, D. K. et al. </w:t>
      </w:r>
      <w:r>
        <w:rPr>
          <w:iCs/>
          <w:i/>
        </w:rPr>
        <w:t xml:space="preserve">Video processing from electro-optical sensors… (SMD).</w:t>
      </w:r>
      <w:r>
        <w:t xml:space="preserve"> </w:t>
      </w:r>
      <w:r>
        <w:t xml:space="preserve">IEEE T-ITS, 18(8), 2017.</w:t>
      </w:r>
    </w:p>
    <w:p>
      <w:pPr>
        <w:numPr>
          <w:ilvl w:val="0"/>
          <w:numId w:val="1008"/>
        </w:numPr>
        <w:pStyle w:val="Compact"/>
      </w:pPr>
      <w:r>
        <w:t xml:space="preserve">Shao, Z. et al. </w:t>
      </w:r>
      <w:r>
        <w:rPr>
          <w:iCs/>
          <w:i/>
        </w:rPr>
        <w:t xml:space="preserve">SeaShips.</w:t>
      </w:r>
      <w:r>
        <w:t xml:space="preserve"> </w:t>
      </w:r>
      <w:r>
        <w:t xml:space="preserve">IEEE T-Multimedia, 20(10), 2018.</w:t>
      </w:r>
    </w:p>
    <w:p>
      <w:pPr>
        <w:numPr>
          <w:ilvl w:val="0"/>
          <w:numId w:val="1008"/>
        </w:numPr>
        <w:pStyle w:val="Compact"/>
      </w:pPr>
      <w:r>
        <w:t xml:space="preserve">Zhang, W. et al. </w:t>
      </w:r>
      <w:r>
        <w:rPr>
          <w:iCs/>
          <w:i/>
        </w:rPr>
        <w:t xml:space="preserve">A survey on negative transfer.</w:t>
      </w:r>
      <w:r>
        <w:t xml:space="preserve"> </w:t>
      </w:r>
      <w:r>
        <w:t xml:space="preserve">IEEE/CAA J. Autom. Sinica, 10(2), 2023.</w:t>
      </w:r>
    </w:p>
    <w:p>
      <w:pPr>
        <w:numPr>
          <w:ilvl w:val="0"/>
          <w:numId w:val="1008"/>
        </w:numPr>
        <w:pStyle w:val="Compact"/>
      </w:pPr>
      <w:r>
        <w:t xml:space="preserve">Cui, Y. et al. </w:t>
      </w:r>
      <w:r>
        <w:rPr>
          <w:iCs/>
          <w:i/>
        </w:rPr>
        <w:t xml:space="preserve">Large scale fine-grained categorization and domain-specific transfer learning.</w:t>
      </w:r>
      <w:r>
        <w:t xml:space="preserve"> </w:t>
      </w:r>
      <w:r>
        <w:t xml:space="preserve">CVPR, 2018.</w:t>
      </w:r>
    </w:p>
    <w:p>
      <w:pPr>
        <w:numPr>
          <w:ilvl w:val="0"/>
          <w:numId w:val="1008"/>
        </w:numPr>
        <w:pStyle w:val="Compact"/>
      </w:pPr>
      <w:r>
        <w:t xml:space="preserve">Ghiasi, G. et al. </w:t>
      </w:r>
      <w:r>
        <w:rPr>
          <w:iCs/>
          <w:i/>
        </w:rPr>
        <w:t xml:space="preserve">Simple copy-paste…</w:t>
      </w:r>
      <w:r>
        <w:t xml:space="preserve"> </w:t>
      </w:r>
      <w:r>
        <w:t xml:space="preserve">CVPR, 2021.</w:t>
      </w:r>
    </w:p>
    <w:p>
      <w:pPr>
        <w:numPr>
          <w:ilvl w:val="0"/>
          <w:numId w:val="1008"/>
        </w:numPr>
        <w:pStyle w:val="Compact"/>
      </w:pPr>
      <w:r>
        <w:t xml:space="preserve">Kirillov, A. et al. </w:t>
      </w:r>
      <w:r>
        <w:rPr>
          <w:iCs/>
          <w:i/>
        </w:rPr>
        <w:t xml:space="preserve">Segment Anything.</w:t>
      </w:r>
      <w:r>
        <w:t xml:space="preserve"> </w:t>
      </w:r>
      <w:r>
        <w:t xml:space="preserve">ICCV, 2023.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Rascunho v1 — sujeito a revisão do supervisor e dos co-autores antes da execução.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2026-07-04T11:45:43Z</dcterms:created>
  <dcterms:modified xsi:type="dcterms:W3CDTF">2026-07-04T11:45:43Z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