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607d8b"/>
          <w:sz w:val="20"/>
          <w:szCs w:val="20"/>
        </w:rPr>
        <w:t xml:space="preserve">Projeto CASNAV/DMarSup — Termo 66/2025</w:t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565c0"/>
          <w:sz w:val="30"/>
          <w:szCs w:val="30"/>
        </w:rPr>
        <w:t xml:space="preserve">Detecção de Embarcações — Aumento de Dados Cross-Domain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607d8b"/>
          <w:sz w:val="22"/>
          <w:szCs w:val="22"/>
        </w:rPr>
        <w:t xml:space="preserve">Como aumentar o dataset para um modelo operacional mais assertivo no CITRA real</w:t>
      </w:r>
    </w:p>
    <w:p>
      <w:pPr>
        <w:spacing w:after="240"/>
        <w:jc w:val="center"/>
      </w:pPr>
      <w:r>
        <w:rPr>
          <w:rFonts w:ascii="Calibri" w:cs="Calibri" w:eastAsia="Calibri" w:hAnsi="Calibri"/>
          <w:color w:val="1565c0"/>
          <w:sz w:val="18"/>
          <w:szCs w:val="18"/>
        </w:rPr>
        <w:t xml:space="preserve">Repositório: github.com/DanielaLFreire/maritime-crossdomain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8e1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e65100"/>
                <w:sz w:val="22"/>
                <w:szCs w:val="22"/>
              </w:rPr>
              <w:t xml:space="preserve">Objetivo</w:t>
            </w:r>
          </w:p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Construir um modelo operacional que detecte embarcações nas imagens reais do CITRA-3D com o máximo de assertividade. O dataset operacional é pequeno e restrito; a questão de engenharia é como aumentá-lo — com quais dados e por qual método — para o modelo acertar mais na operação real. As publicações são um subproduto formal do trabalho; o produto é o modelo.</w:t>
            </w:r>
          </w:p>
        </w:tc>
      </w:tr>
    </w:tbl>
    <w:p>
      <w:pPr>
        <w:spacing w:after="160"/>
      </w:pPr>
      <w:r>
        <w:rPr>
          <w:sz w:val="8"/>
          <w:szCs w:val="8"/>
        </w:rPr>
        <w:t xml:space="preserve"/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</w:rPr>
        <w:t xml:space="preserve">1. Retrospectiva — o que já sabíamos (do primeiro estudo)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O sistema de detecção da Marinha é treinado sobre o CITRA-3D-Real, um conjunto operacional restrito e pequeno (2.081 imagens). A pergunta de partida foi: podemos aumentar esse conjunto com imagens públicas de embarcações para o modelo acertar mais?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A resposta do primeiro estudo foi contra-intuitiva e virou o título do artigo: "semelhança visual não basta". Usar um dataset público grande e visualmente parecido (InaTechShips) por pré-treino direto PIOROU o modelo — uma transferência negativa de −4,15 pontos. A causa não é a aparência, e sim a incompatibilidade estrutural: as embarcações do CITRA são minúsculas (0,1% da imagem) e as do InaTechShips são enormes (54%).</w:t>
      </w:r>
    </w:p>
    <w:p>
      <w:pPr>
        <w:spacing w:after="200" w:before="0"/>
      </w:pPr>
      <w:r>
        <w:rPr>
          <w:rFonts w:ascii="Calibri" w:cs="Calibri" w:eastAsia="Calibri" w:hAnsi="Calibri"/>
          <w:sz w:val="22"/>
          <w:szCs w:val="22"/>
        </w:rPr>
        <w:t xml:space="preserve">A solução que funcionou foi a composição sintética in-place: recortar a embarcação pública (com o modelo SAM) e colá-la na cena operacional, na posição e escala de uma embarcação real. Treinando o CITRA junto com essas imagens sintéticas (regime "joint"), o ganho foi de +1,00 ponto — revertendo a transferência negativa. A conclusão do artigo: o que prediz a utilidade de uma fonte é a compatibilidade estrutural, e a síntese domain-adapted é o mecanismo que a aproveita.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</w:rPr>
        <w:t xml:space="preserve">2. O experimento atual — a fonte estruturalmente próxima (ABOShips)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O artigo usou uma única fonte, o InaTechShips, estruturalmente distante do CITRA — suas embarcações ocupam ~54% da imagem, contra 0,1% do CITRA (Tabela I do artigo). A extensão adiciona uma segunda fonte, o ABOShips, estruturalmente PRÓXIMA do CITRA (distância medida = 0,95). Isso permite responder a uma pergunta nova: a estratégia de aumento depende de COMO a fonte é usada — como imagem sintética ou como dado real?</w:t>
      </w:r>
    </w:p>
    <w:p>
      <w:pPr>
        <w:spacing w:after="80" w:before="0"/>
      </w:pPr>
      <w:r>
        <w:rPr>
          <w:rFonts w:ascii="Calibri" w:cs="Calibri" w:eastAsia="Calibri" w:hAnsi="Calibri"/>
          <w:sz w:val="20"/>
          <w:szCs w:val="20"/>
        </w:rPr>
        <w:t xml:space="preserve">Como medimos a "distância estrutural": é um índice que compara dois datasets em três eixos objetivos — (1) escala das embarcações (área mediana das caixas), (2) densidade (embarcações por imagem) e (3) proporção de embarcações pequenas. Cada eixo é normalizado e a distância é a combinação dos três (quanto menor, mais parecidos estruturalmente).</w:t>
      </w:r>
    </w:p>
    <w:p>
      <w:pPr>
        <w:spacing w:after="160" w:before="0"/>
      </w:pPr>
      <w:r>
        <w:rPr>
          <w:rFonts w:ascii="Calibri" w:cs="Calibri" w:eastAsia="Calibri" w:hAnsi="Calibri"/>
          <w:sz w:val="20"/>
          <w:szCs w:val="20"/>
        </w:rPr>
        <w:t xml:space="preserve">As distâncias medidas dos datasets ao CITRA foram: ABOShips 0,95 (o mais próximo) &lt; SMD 1,84 &lt; SeaShips 4,08. O InaTechShips, medido à parte, é a fonte mais distante de todas — o que o afasta do CITRA são justamente os eixos de escala e proporção de pequenas (suas embarcações são enormes e nenhuma é pequena, contra 82% de pequenas no CITRA). Esse detalhe explica um ponto central: a composição sintética in-place corrige exatamente esses dois eixos (redimensiona as embarcações para a escala pequena do CITRA), e é por isso que o InaTechShips, péssimo quando usado por pré-treino direto (−4,15 pontos), torna-se a melhor fonte quando usado por síntese (+1,00 pontos no artigo). A síntese ataca precisamente onde a fonte é incompatível.</w:t>
      </w:r>
    </w:p>
    <w:p>
      <w:pPr>
        <w:spacing w:after="80" w:before="0"/>
      </w:pPr>
      <w:r>
        <w:rPr>
          <w:rFonts w:ascii="Calibri" w:cs="Calibri" w:eastAsia="Calibri" w:hAnsi="Calibri"/>
          <w:sz w:val="22"/>
          <w:szCs w:val="22"/>
        </w:rPr>
        <w:t xml:space="preserve">Comparamos quatro estratégias (cada uma com 3 repetições para robustez estatística):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B2 — linha de base: só o CITRA (sem aumento).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2e7d32"/>
          <w:sz w:val="22"/>
          <w:szCs w:val="22"/>
        </w:rPr>
        <w:t xml:space="preserve">A_joint_ABO — CITRA + imagens SINTÉTICAS do ABOShips (composição in-place).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565c0"/>
          <w:sz w:val="22"/>
          <w:szCs w:val="22"/>
        </w:rPr>
        <w:t xml:space="preserve">C-joint — CITRA + imagens REAIS do ABOShips, treinadas juntas (co-treino).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c62828"/>
          <w:sz w:val="22"/>
          <w:szCs w:val="22"/>
        </w:rPr>
        <w:t xml:space="preserve">C-pre — pré-treino direto no ABOShips real, depois ajuste no CITRA.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2.1. Resultado no CITRA — o cenário-alvo da operação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Este é o resultado que mais importa: o desempenho no próprio CITRA, que é o domínio real de emprego. Avaliando no conjunto de teste do CITRA (embarcações pequenas, vigilância), a síntese foi a melhor estratégia de aumento: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2000"/>
        <w:gridCol w:w="2000"/>
      </w:tblGrid>
      <w:tr>
        <w:trPr>
          <w:tblHeader/>
        </w:trPr>
        <w:tc>
          <w:tcPr>
            <w:tcW w:type="dxa" w:w="3000"/>
            <w:shd w:fill="1565c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Estratégia</w:t>
            </w:r>
          </w:p>
        </w:tc>
        <w:tc>
          <w:tcPr>
            <w:tcW w:type="dxa" w:w="2000"/>
            <w:shd w:fill="1565c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mAP50</w:t>
            </w:r>
          </w:p>
        </w:tc>
        <w:tc>
          <w:tcPr>
            <w:tcW w:type="dxa" w:w="2000"/>
            <w:shd w:fill="1565c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Recall</w:t>
            </w:r>
          </w:p>
        </w:tc>
        <w:tc>
          <w:tcPr>
            <w:tcW w:type="dxa" w:w="2000"/>
            <w:shd w:fill="1565c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Δ vs base</w:t>
            </w:r>
          </w:p>
        </w:tc>
      </w:tr>
      <w:tr>
        <w:tc>
          <w:tcPr>
            <w:tcW w:type="dxa" w:w="3000"/>
            <w:shd w:fill="e8f5e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A_joint_ABO (síntese)</w:t>
            </w:r>
          </w:p>
        </w:tc>
        <w:tc>
          <w:tcPr>
            <w:tcW w:type="dxa" w:w="2000"/>
            <w:shd w:fill="e8f5e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0,8384</w:t>
            </w:r>
          </w:p>
        </w:tc>
        <w:tc>
          <w:tcPr>
            <w:tcW w:type="dxa" w:w="2000"/>
            <w:shd w:fill="e8f5e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0,7946</w:t>
            </w:r>
          </w:p>
        </w:tc>
        <w:tc>
          <w:tcPr>
            <w:tcW w:type="dxa" w:w="2000"/>
            <w:shd w:fill="e8f5e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7d32"/>
                <w:sz w:val="20"/>
                <w:szCs w:val="20"/>
              </w:rPr>
              <w:t xml:space="preserve">+0,69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B2 (linha de base)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0,8315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0,7795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C-joint (real co-treino)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0,8310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0,7732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−0,05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C-pre (real pré-treino)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0,8279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0,7631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c62828"/>
                <w:sz w:val="20"/>
                <w:szCs w:val="20"/>
              </w:rPr>
              <w:t xml:space="preserve">−0,37</w:t>
            </w:r>
          </w:p>
        </w:tc>
      </w:tr>
    </w:tbl>
    <w:p>
      <w:pPr>
        <w:spacing w:after="16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Só a síntese (A_joint_ABO) supera a base. O dado real puro não ajuda (C-joint neutro) ou atrapalha (C-pre). Confirmado nas 3 repetições.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2.2. Teste-diagnóstico num domínio diferente (SeaShips)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Para entender o comportamento dos modelos, avaliamos em um domínio propositalmente diferente — o SeaShips, câmera costeira com embarcações grandes (6.979 imagens, sem novo treino). O SeaShips NÃO é o cenário de emprego; serve como sonda para revelar o que cada estratégia aprende. E aqui o resultado se inverteu: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2000"/>
        <w:gridCol w:w="2000"/>
      </w:tblGrid>
      <w:tr>
        <w:trPr>
          <w:tblHeader/>
        </w:trPr>
        <w:tc>
          <w:tcPr>
            <w:tcW w:type="dxa" w:w="3000"/>
            <w:shd w:fill="1565c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Estratégia</w:t>
            </w:r>
          </w:p>
        </w:tc>
        <w:tc>
          <w:tcPr>
            <w:tcW w:type="dxa" w:w="2000"/>
            <w:shd w:fill="1565c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mAP50</w:t>
            </w:r>
          </w:p>
        </w:tc>
        <w:tc>
          <w:tcPr>
            <w:tcW w:type="dxa" w:w="2000"/>
            <w:shd w:fill="1565c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Recall</w:t>
            </w:r>
          </w:p>
        </w:tc>
        <w:tc>
          <w:tcPr>
            <w:tcW w:type="dxa" w:w="2000"/>
            <w:shd w:fill="1565c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Δ vs base</w:t>
            </w:r>
          </w:p>
        </w:tc>
      </w:tr>
      <w:tr>
        <w:tc>
          <w:tcPr>
            <w:tcW w:type="dxa" w:w="3000"/>
            <w:shd w:fill="e3f0fb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C-joint (real co-treino)</w:t>
            </w:r>
          </w:p>
        </w:tc>
        <w:tc>
          <w:tcPr>
            <w:tcW w:type="dxa" w:w="2000"/>
            <w:shd w:fill="e3f0fb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0,4395</w:t>
            </w:r>
          </w:p>
        </w:tc>
        <w:tc>
          <w:tcPr>
            <w:tcW w:type="dxa" w:w="2000"/>
            <w:shd w:fill="e3f0fb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0,3872</w:t>
            </w:r>
          </w:p>
        </w:tc>
        <w:tc>
          <w:tcPr>
            <w:tcW w:type="dxa" w:w="2000"/>
            <w:shd w:fill="e3f0fb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565c0"/>
                <w:sz w:val="20"/>
                <w:szCs w:val="20"/>
              </w:rPr>
              <w:t xml:space="preserve">+4,75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A_joint_ABO (síntese)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0,4184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7d32"/>
                <w:sz w:val="20"/>
                <w:szCs w:val="20"/>
              </w:rPr>
              <w:t xml:space="preserve">0,4445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+2,63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B2 (linha de base)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0,3920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0,3781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C-pre (real pré-treino)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0,3041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0,2887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c62828"/>
                <w:sz w:val="20"/>
                <w:szCs w:val="20"/>
              </w:rPr>
              <w:t xml:space="preserve">−8,79</w:t>
            </w:r>
          </w:p>
        </w:tc>
      </w:tr>
    </w:tbl>
    <w:p>
      <w:pPr>
        <w:spacing w:after="16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Num domínio de embarcações grandes, o co-treino real (C-joint) lidera. Isso NÃO significa trocar de estratégia para a operação — significa que cada método aprende uma escala diferente. A leitura correta vem a seguir.</w:t>
      </w:r>
    </w:p>
    <w:p>
      <w:pPr>
        <w:spacing w:after="120" w:before="120"/>
        <w:jc w:val="center"/>
      </w:pPr>
      <w:r>
        <w:drawing>
          <wp:inline distT="0" distB="0" distL="0" distR="0">
            <wp:extent cx="5334000" cy="2038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Figura 1. As duas faces do resultado: no CITRA (esquerda, embarcações pequenas) a síntese vence; no SeaShips (direita, embarcações grandes) o co-treino real vence. Barras de erro = desvio-padrão das 3 repetições.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</w:rPr>
        <w:t xml:space="preserve">3. Por que a inversão? A hipótese de escala — confirmada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A explicação está no tamanho das embarcações de cada domínio. Medimos a área das caixas de anotação:</w:t>
      </w:r>
    </w:p>
    <w:p>
      <w:pPr>
        <w:spacing w:after="120" w:before="120"/>
        <w:jc w:val="center"/>
      </w:pPr>
      <w:r>
        <w:drawing>
          <wp:inline distT="0" distB="0" distL="0" distR="0">
            <wp:extent cx="5334000" cy="1847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Figura 2. O CITRA é dominado por embarcações pequenas (área mediana 0,10% da imagem); o SeaShips, por embarcações grandes (3,64% — cerca de 36× maiores).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 mecanismo fica claro: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 síntese (A_joint_ABO) cola as embarcações públicas na escala minúscula do CITRA. O modelo vira especialista em objetos pequenos — ótimo no CITRA, mas mal-adaptado ao SeaShips, que é grande.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O co-treino real (C-joint) preserva as embarcações grandes originais do ABOShips. O modelo mantém competência em objetos grandes — o que o SeaShips (63% grandes) exige.</w:t>
      </w:r>
    </w:p>
    <w:p>
      <w:pPr>
        <w:spacing w:after="160" w:before="0"/>
      </w:pPr>
      <w:r>
        <w:rPr>
          <w:rFonts w:ascii="Calibri" w:cs="Calibri" w:eastAsia="Calibri" w:hAnsi="Calibri"/>
          <w:sz w:val="22"/>
          <w:szCs w:val="22"/>
        </w:rPr>
        <w:t xml:space="preserve">Ou seja: a síntese in-place otimiza para a escala do alvo operacional. Isso é uma vantagem quando o alvo é pequeno (CITRA) e um custo quando o alvo é grande (SeaShips).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</w:rPr>
        <w:t xml:space="preserve">4. O que isso significa para o projeto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e3f0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565c0"/>
                <w:sz w:val="22"/>
                <w:szCs w:val="22"/>
              </w:rPr>
              <w:t xml:space="preserve">Recomendação para o modelo operacional do CITRA: usar a composição sintética in-place como estratégia de aumento.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O que está comprovado é o MÉTODO: a síntese in-place vence no CITRA, que é dominado por embarcações pequenas — exatamente o regime onde ela é superior. Como o alvo real de emprego é o CITRA, a síntese é a escolha certa para o modelo em produção, e é também a que entrega o maior recall (detecta mais embarcações, o que mais importa em vigilância).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Qual FONTE de embarcações usar na síntese (ABOShips, InaTechShips ou uma combinação) ainda está sendo determinado: os resultados atuais sugerem que a fonte pode afetar o ganho, mas as comparações disponíveis têm volumes diferentes. A Fase 1 do próximo experimento (Seção 5) resolve isso, comparando as fontes com volume igual. Até lá, o braço validado em produção é o A_joint_ABO (ABOShips).</w:t>
            </w:r>
          </w:p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A vantagem do co-treino real aparece só em domínios de embarcações grandes (como o SeaShips), que não é o cenário de emprego. Esse dado é útil para o futuro: se a operação passar a incluir alvos maiores/próximos, a estratégia deve ser revista.</w:t>
            </w:r>
          </w:p>
        </w:tc>
      </w:tr>
    </w:tbl>
    <w:p>
      <w:pPr>
        <w:spacing w:after="200" w:before="10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Em todos os casos, o pré-treino direto no dado público (C-pre) é a pior opção e deve ser evitado no pipeline operacional.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</w:rPr>
        <w:t xml:space="preserve">5. Próximo experimento — multi-fonte de embarcações, em duas fases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A pergunta que serve diretamente ao modelo operacional: usar embarcações sintéticas de mais de uma fonte torna o modelo do CITRA mais assertivo? E, antes disso: entre as fontes disponíveis, alguma rende melhor que a outra quando comparadas de forma justa? Dispomos de crops de duas fontes em extremos opostos do eixo estrutural — ABOShips (a mais próxima) e InaTechShips (a mais distante) — o que torna a comparação especialmente informativa. Todas as embarcações são sempre coladas na escala do CITRA (composição in-place), e o ganho é medido no PRÓPRIO CITRA (o alvo operacional).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Fase 1 — "a fonte importa?" (volume igual):</w:t>
      </w:r>
    </w:p>
    <w:p>
      <w:pPr>
        <w:spacing w:after="100" w:before="0"/>
      </w:pPr>
      <w:r>
        <w:rPr>
          <w:rFonts w:ascii="Calibri" w:cs="Calibri" w:eastAsia="Calibri" w:hAnsi="Calibri"/>
          <w:sz w:val="22"/>
          <w:szCs w:val="22"/>
        </w:rPr>
        <w:t xml:space="preserve">Compara as duas fontes isoladamente, com o MESMO número de crops (V = o menor volume entre elas; a maior é subamostrada para igualar). Como os dois braços têm volume idêntico, background idêntico e protocolo idêntico, a única variável é a fonte — isolando o efeito dela.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2000"/>
      </w:tblGrid>
      <w:tr>
        <w:trPr>
          <w:tblHeader/>
        </w:trPr>
        <w:tc>
          <w:tcPr>
            <w:tcW w:type="dxa" w:w="3000"/>
            <w:shd w:fill="2e7d3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Braço (Fase 1)</w:t>
            </w:r>
          </w:p>
        </w:tc>
        <w:tc>
          <w:tcPr>
            <w:tcW w:type="dxa" w:w="4000"/>
            <w:shd w:fill="2e7d3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Composição</w:t>
            </w:r>
          </w:p>
        </w:tc>
        <w:tc>
          <w:tcPr>
            <w:tcW w:type="dxa" w:w="2000"/>
            <w:shd w:fill="2e7d3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Volume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M_ABO</w:t>
            </w:r>
          </w:p>
        </w:tc>
        <w:tc>
          <w:tcPr>
            <w:tcW w:type="dxa" w:w="4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CITRA + crops ABOShips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M_InaTech</w:t>
            </w:r>
          </w:p>
        </w:tc>
        <w:tc>
          <w:tcPr>
            <w:tcW w:type="dxa" w:w="4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CITRA + crops InaTechShips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</w:t>
            </w:r>
          </w:p>
        </w:tc>
      </w:tr>
    </w:tbl>
    <w:p>
      <w:pPr>
        <w:spacing w:after="16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Resultado esperado: se M_InaTech &gt; M_ABO (com volume igual), a diversidade/qualidade da fonte pesa mais que a proximidade estrutural. Se empatarem, a fonte não importa quando o volume é igual — o que vale é apenas o redimensionamento para a escala do CITRA. Qualquer desfecho é uma conclusão de engenharia útil e limpa.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Fase 2 — "combinar ajuda?" (com controle de volume):</w:t>
      </w:r>
    </w:p>
    <w:p>
      <w:pPr>
        <w:spacing w:after="100" w:before="0"/>
      </w:pPr>
      <w:r>
        <w:rPr>
          <w:rFonts w:ascii="Calibri" w:cs="Calibri" w:eastAsia="Calibri" w:hAnsi="Calibri"/>
          <w:sz w:val="22"/>
          <w:szCs w:val="22"/>
        </w:rPr>
        <w:t xml:space="preserve">Só se a Fase 1 justificar. Ao juntar duas fontes, mudam DUAS coisas: a diversidade de fontes e o volume. Para saber se um ganho vem da diversidade (e não de simplesmente mais dados), o braço de combinação é comparado a um controle de MESMO volume, porém de fonte única.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2000"/>
      </w:tblGrid>
      <w:tr>
        <w:trPr>
          <w:tblHeader/>
        </w:trPr>
        <w:tc>
          <w:tcPr>
            <w:tcW w:type="dxa" w:w="3000"/>
            <w:shd w:fill="1565c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Braço (Fase 2)</w:t>
            </w:r>
          </w:p>
        </w:tc>
        <w:tc>
          <w:tcPr>
            <w:tcW w:type="dxa" w:w="4000"/>
            <w:shd w:fill="1565c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Composição</w:t>
            </w:r>
          </w:p>
        </w:tc>
        <w:tc>
          <w:tcPr>
            <w:tcW w:type="dxa" w:w="2000"/>
            <w:shd w:fill="1565c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Volume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M_both</w:t>
            </w:r>
          </w:p>
        </w:tc>
        <w:tc>
          <w:tcPr>
            <w:tcW w:type="dxa" w:w="4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CITRA + InaTech + ABO (V de cada)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2V</w:t>
            </w:r>
          </w:p>
        </w:tc>
      </w:tr>
      <w:tr>
        <w:tc>
          <w:tcPr>
            <w:tcW w:type="dxa" w:w="3000"/>
            <w:shd w:fill="ecef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M_control</w:t>
            </w:r>
          </w:p>
        </w:tc>
        <w:tc>
          <w:tcPr>
            <w:tcW w:type="dxa" w:w="4000"/>
            <w:shd w:fill="ecef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CITRA + a melhor fonte da Fase 1, dobrada</w:t>
            </w:r>
          </w:p>
        </w:tc>
        <w:tc>
          <w:tcPr>
            <w:tcW w:type="dxa" w:w="2000"/>
            <w:shd w:fill="ecef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2V</w:t>
            </w:r>
          </w:p>
        </w:tc>
      </w:tr>
    </w:tbl>
    <w:p>
      <w:pPr>
        <w:spacing w:after="16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Comparando M_both com M_control (ambos com volume 2V), isola-se o efeito da diversidade de fontes: se M_both &gt; M_control, combinar fontes ajuda de fato; se empatarem, o ganho vinha do volume, e basta escalar a melhor fonte única (mais simples de manter em produção).</w:t>
      </w:r>
    </w:p>
    <w:p>
      <w:pPr>
        <w:spacing w:after="120" w:before="12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Custo estimado: Fase 1 acrescenta 1 braço novo (M_InaTech; o M_ABO já foi treinado) × 3 repetições; a Fase 2 acrescenta mais 2 braços × 3 repetições, apenas se justificada. Toda a infraestrutura de composição e treino já está construída. O foco é a decisão de engenharia: qual composição de dataset produz o modelo operacional mais assertivo no CITRA — as publicações são a formalização desse trabalho.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</w:rPr>
        <w:t xml:space="preserve">6. Próximos passos</w:t>
      </w:r>
    </w:p>
    <w:p>
      <w:pPr>
        <w:spacing w:after="80" w:before="0"/>
      </w:pPr>
      <w:r>
        <w:rPr>
          <w:rFonts w:ascii="Calibri" w:cs="Calibri" w:eastAsia="Calibri" w:hAnsi="Calibri"/>
          <w:sz w:val="22"/>
          <w:szCs w:val="22"/>
        </w:rPr>
        <w:t xml:space="preserve">Com base nos resultados, os próximos passos definidos são: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Adotar a síntese in-place (A_joint_ABO) como estratégia de aumento do modelo operacional do CITRA — é a que mais acerta no cenário-alvo real.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Executar a Fase 1 do experimento multi-fonte (Seção 5): treinar M_InaTech no mesmo volume do M_ABO e responder se a fonte importa quando o volume é igualado.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Conforme o resultado da Fase 1, executar a Fase 2 (combinar fontes com controle de volume) para decidir se um dataset multi-fonte torna o modelo do CITRA ainda mais assertivo.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Manter o monitoramento por escala: se o cenário de emprego passar a incluir embarcações maiores/próximas, reavaliar a estratégia (o co-treino real passa a ser competitivo).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Consolidar a versão estendida em periódico — formalização do trabalho, subproduto da construção do modelo.</w:t>
      </w:r>
    </w:p>
    <w:p>
      <w:pPr>
        <w:spacing w:after="200" w:before="100"/>
      </w:pPr>
      <w:r>
        <w:rPr>
          <w:rFonts w:ascii="Calibri" w:cs="Calibri" w:eastAsia="Calibri" w:hAnsi="Calibri"/>
          <w:sz w:val="22"/>
          <w:szCs w:val="22"/>
        </w:rPr>
        <w:t xml:space="preserve">Todo o código, dados de resultado e figuras estão versionados no repositório do projeto: github.com/DanielaLFreire/maritime-crossdomain.</w:t>
      </w:r>
    </w:p>
    <w:p>
      <w:pPr>
        <w:pBdr>
          <w:top w:val="single" w:color="607d8b" w:sz="6"/>
        </w:pBdr>
        <w:spacing w:before="200"/>
      </w:pPr>
      <w:r>
        <w:rPr>
          <w:rFonts w:ascii="Calibri" w:cs="Calibri" w:eastAsia="Calibri" w:hAnsi="Calibri"/>
          <w:i/>
          <w:iCs/>
          <w:color w:val="607d8b"/>
          <w:sz w:val="16"/>
          <w:szCs w:val="16"/>
        </w:rPr>
        <w:t xml:space="preserve">Documento técnico interno — dados operacionais restritos. Fontes públicas citadas conforme licenças originais.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8a0078531df5f66845b2cb6673cf89a38222816.png"/><Relationship Id="rId8" Type="http://schemas.openxmlformats.org/officeDocument/2006/relationships/image" Target="media/0ad33b61f75ea2121d2679580eea5f23e20a5b8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2026-07-13T20:55:46.368Z</dcterms:created>
  <dcterms:modified xsi:type="dcterms:W3CDTF">2026-07-13T20:55:46.383Z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