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07d8b"/>
          <w:sz w:val="20"/>
          <w:szCs w:val="20"/>
        </w:rPr>
        <w:t xml:space="preserve">Projeto CASNAV/DMarSup — Termo 66/2025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565c0"/>
          <w:sz w:val="30"/>
          <w:szCs w:val="30"/>
        </w:rPr>
        <w:t xml:space="preserve">Detecção de Embarcações — Aumento de Dados Cross-Domain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07d8b"/>
          <w:sz w:val="22"/>
          <w:szCs w:val="22"/>
        </w:rPr>
        <w:t xml:space="preserve">Como aumentar o dataset para um modelo operacional mais assertivo no CITRA real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1565c0"/>
          <w:sz w:val="18"/>
          <w:szCs w:val="18"/>
        </w:rPr>
        <w:t xml:space="preserve">Repositório: github.com/DanielaLFreire/maritime-crossdomain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65100"/>
                <w:sz w:val="22"/>
                <w:szCs w:val="22"/>
              </w:rPr>
              <w:t xml:space="preserve">Objetivo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Construir um modelo operacional que detecte embarcações nas imagens reais do CITRA-3D com o máximo de assertividade. O dataset operacional é pequeno e restrito; a questão de engenharia é como aumentá-lo — com quais dados e por qual método — para o modelo acertar mais na operação real. As publicações são um subproduto formal do trabalho; o produto é o modelo.</w:t>
            </w:r>
          </w:p>
        </w:tc>
      </w:tr>
    </w:tbl>
    <w:p>
      <w:pPr>
        <w:spacing w:after="160"/>
      </w:pPr>
      <w:r>
        <w:rPr>
          <w:sz w:val="8"/>
          <w:szCs w:val="8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Retrospectiva — o que já sabíamos (do primeiro estudo)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sistema de detecção da Marinha é treinado sobre o CITRA-3D-Real, um conjunto operacional restrito e pequeno (2.081 imagens). A pergunta de partida foi: podemos aumentar esse conjunto com imagens públicas de embarcações para o modelo acertar mais?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resposta do primeiro estudo foi contra-intuitiva e virou o título do artigo: "semelhança visual não basta". Usar um dataset público grande e visualmente parecido (InaTechShips) por pré-treino direto PIOROU o modelo — uma transferência negativa de −4,15 pontos. A causa não é a aparência, e sim a incompatibilidade estrutural: as embarcações do CITRA são minúsculas (0,1% da imagem) e as do InaTechShips são enormes (54%).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</w:rPr>
        <w:t xml:space="preserve">A solução que funcionou foi a composição sintética in-place: recortar a embarcação pública (com o modelo SAM) e colá-la na cena operacional, na posição e escala de uma embarcação real. Treinando o CITRA junto com essas imagens sintéticas (regime "joint"), o ganho foi de +1,00 ponto — revertendo a transferência negativa. A conclusão do artigo: o que prediz a utilidade de uma fonte é a compatibilidade estrutural, e a síntese domain-adapted é o mecanismo que a aproveita.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O experimento atual — a fonte estruturalmente próxima (ABOShips)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artigo usou uma única fonte, o InaTechShips, estruturalmente distante do CITRA — suas embarcações ocupam ~54% da imagem, contra 0,1% do CITRA (Tabela I do artigo). A extensão adiciona uma segunda fonte, o ABOShips, estruturalmente PRÓXIMA do CITRA (distância medida = 0,95). Isso permite responder a uma pergunta nova: a estratégia de aumento depende de COMO a fonte é usada — como imagem sintética ou como dado real?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Como medimos a "distância estrutural": é um índice que compara dois datasets em três eixos objetivos — (1) escala das embarcações (área mediana das caixas), (2) densidade (embarcações por imagem) e (3) proporção de embarcações pequenas. Cada eixo é normalizado e a distância é a combinação dos três (quanto menor, mais parecidos estruturalmente).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As distâncias medidas dos datasets ao CITRA foram: ABOShips 0,95 (o mais próximo) &lt; SMD 1,84 &lt; SeaShips 4,08. O InaTechShips, medido à parte, é a fonte mais distante de todas — o que o afasta do CITRA são justamente os eixos de escala e proporção de pequenas (suas embarcações são enormes e nenhuma é pequena, contra 82% de pequenas no CITRA). Esse detalhe explica um ponto central: a composição sintética in-place corrige exatamente esses dois eixos (redimensiona as embarcações para a escala pequena do CITRA), e é por isso que o InaTechShips, péssimo quando usado por pré-treino direto (−4,15 pontos), torna-se a melhor fonte quando usado por síntese (+1,00 pontos no artigo). A síntese ataca precisamente onde a fonte é incompatível.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Comparamos quatro estratégias (cada uma com 3 repetições para robustez estatística):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B2 — linha de base: só o CITRA (sem aumento).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e7d32"/>
          <w:sz w:val="22"/>
          <w:szCs w:val="22"/>
        </w:rPr>
        <w:t xml:space="preserve">A_joint_ABO — CITRA + imagens SINTÉTICAS do ABOShips (composição in-place).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565c0"/>
          <w:sz w:val="22"/>
          <w:szCs w:val="22"/>
        </w:rPr>
        <w:t xml:space="preserve">C-joint — CITRA + imagens REAIS do ABOShips, treinadas juntas (co-treino).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62828"/>
          <w:sz w:val="22"/>
          <w:szCs w:val="22"/>
        </w:rPr>
        <w:t xml:space="preserve">C-pre — pré-treino direto no ABOShips real, depois ajuste no CITRA.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Resultado no CITRA — o cenário-alvo da operação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Este é o resultado que mais importa: o desempenho no próprio CITRA, que é o domínio real de emprego. Avaliando no conjunto de teste do CITRA (embarcações pequenas, vigilância), a síntese foi a melhor estratégia de aumento: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0,8384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0,7946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+0,69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0,7795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0,7732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−0,05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0,8279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0,7631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−0,37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Só a síntese (A_joint_ABO) supera a base. O dado real puro não ajuda (C-joint neutro) ou atrapalha (C-pre). Confirmado nas 3 repetições.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Teste-diagnóstico num domínio diferente (SeaShips)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Para entender o comportamento dos modelos, avaliamos em um domínio propositalmente diferente — o SeaShips, câmera costeira com embarcações grandes (6.979 imagens, sem novo treino). O SeaShips NÃO é o cenário de emprego; serve como sonda para revelar o que cada estratégia aprende. E aqui o resultado se inverteu: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0,4395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0,3872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0"/>
                <w:szCs w:val="20"/>
              </w:rPr>
              <w:t xml:space="preserve">+4,75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0,4184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0,4445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+2,63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0,3920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0,3781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0,3041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0,2887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−8,79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Num domínio de embarcações grandes, o co-treino real (C-joint) lidera. Isso NÃO significa trocar de estratégia para a operação — significa que cada método aprende uma escala diferente. A leitura correta vem a seguir.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1. As duas faces do resultado: no CITRA (esquerda, embarcações pequenas) a síntese vence; no SeaShips (direita, embarcações grandes) o co-treino real vence. Barras de erro = desvio-padrão das 3 repetições.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Por que a inversão? A hipótese de escala — confirmada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explicação está no tamanho das embarcações de cada domínio. Medimos a área das caixas de anotação de todos os datasets, na mesma resolução (640×640) para comparação justa: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400"/>
        <w:gridCol w:w="1400"/>
        <w:gridCol w:w="1500"/>
      </w:tblGrid>
      <w:tr>
        <w:trPr>
          <w:tblHeader/>
        </w:trPr>
        <w:tc>
          <w:tcPr>
            <w:tcW w:type="dxa" w:w="26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21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Área mediana</w:t>
            </w:r>
          </w:p>
        </w:tc>
        <w:tc>
          <w:tcPr>
            <w:tcW w:type="dxa" w:w="14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pequenas</w:t>
            </w:r>
          </w:p>
        </w:tc>
        <w:tc>
          <w:tcPr>
            <w:tcW w:type="dxa" w:w="14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grandes</w:t>
            </w:r>
          </w:p>
        </w:tc>
        <w:tc>
          <w:tcPr>
            <w:tcW w:type="dxa" w:w="15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obj/imagem</w:t>
            </w:r>
          </w:p>
        </w:tc>
      </w:tr>
      <w:tr>
        <w:tc>
          <w:tcPr>
            <w:tcW w:type="dxa" w:w="26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CITRA-3D (alvo)</w:t>
            </w:r>
          </w:p>
        </w:tc>
        <w:tc>
          <w:tcPr>
            <w:tcW w:type="dxa" w:w="21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0,10%</w:t>
            </w:r>
          </w:p>
        </w:tc>
        <w:tc>
          <w:tcPr>
            <w:tcW w:type="dxa" w:w="14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71,6%</w:t>
            </w:r>
          </w:p>
        </w:tc>
        <w:tc>
          <w:tcPr>
            <w:tcW w:type="dxa" w:w="14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2,9%</w:t>
            </w:r>
          </w:p>
        </w:tc>
        <w:tc>
          <w:tcPr>
            <w:tcW w:type="dxa" w:w="15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3,37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ABOShips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0,23%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52,1%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10,5%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4,27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SMD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0,37%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38,3%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10,4%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7,71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SeaShips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3,64%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4,3%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63,2%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1,32</w:t>
            </w:r>
          </w:p>
        </w:tc>
      </w:tr>
      <w:tr>
        <w:tc>
          <w:tcPr>
            <w:tcW w:type="dxa" w:w="2600"/>
            <w:shd w:fill="fdece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InaTechShips</w:t>
            </w:r>
          </w:p>
        </w:tc>
        <w:tc>
          <w:tcPr>
            <w:tcW w:type="dxa" w:w="2100"/>
            <w:shd w:fill="fdece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32,09%</w:t>
            </w:r>
          </w:p>
        </w:tc>
        <w:tc>
          <w:tcPr>
            <w:tcW w:type="dxa" w:w="1400"/>
            <w:shd w:fill="fdece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0,0%</w:t>
            </w:r>
          </w:p>
        </w:tc>
        <w:tc>
          <w:tcPr>
            <w:tcW w:type="dxa" w:w="1400"/>
            <w:shd w:fill="fdece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100%</w:t>
            </w:r>
          </w:p>
        </w:tc>
        <w:tc>
          <w:tcPr>
            <w:tcW w:type="dxa" w:w="1500"/>
            <w:shd w:fill="fdece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</w:tbl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Tabela 1. Perfil de tamanho dos datasets (COCO a 640×640). Ordenados por escala: à medida que a área mediana cresce, a proporção de embarcações pequenas cai e a de grandes sobe. O CITRA (alvo) tem as menores embarcações (71,6% pequenas); o InaTechShips, as maiores (100% grandes, nenhuma pequena) — cerca de 324× maiores que as do CITRA.</w:t>
      </w:r>
    </w:p>
    <w:p>
      <w:pPr>
        <w:spacing w:after="120" w:before="120"/>
        <w:jc w:val="center"/>
      </w:pPr>
      <w:r>
        <w:drawing>
          <wp:inline distT="0" distB="0" distL="0" distR="0">
            <wp:extent cx="542925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2. O eixo de escala dos datasets. À esquerda, a distribuição de tamanho (a barra do CITRA é dominada por pequenas; a do InaTechShips, inteiramente grandes). À direita, a área mediana em escala logarítmica — a progressão de escala do domínio operacional (CITRA) até a fonte mais distante (InaTechShips).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A ordem por escala nesta tabela é a mesma da distância estrutural medida (CITRA &lt; ABOShips &lt; SMD &lt; SeaShips &lt; InaTechShips): a escala é o eixo dominante que separa os domínios. Voltando à inversão de desempenho, o mecanismo fica claro: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síntese (A_joint_ABO) cola as embarcações públicas na escala minúscula do CITRA. O modelo vira especialista em objetos pequenos — ótimo no CITRA, mas mal-adaptado ao SeaShips, que é grande.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co-treino real (C-joint) preserva as embarcações grandes originais do ABOShips. O modelo mantém competência em objetos grandes — o que o SeaShips (63% grandes) exige.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Ou seja: a síntese in-place otimiza para a escala do alvo operacional. Isso é uma vantagem quando o alvo é pequeno (CITRA) e um custo quando o alvo é grande (SeaShips).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O que isso significa para o projeto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3f0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2"/>
                <w:szCs w:val="22"/>
              </w:rPr>
              <w:t xml:space="preserve">Recomendação para o modelo operacional do CITRA: usar a composição sintética in-place como estratégia de aumento.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está comprovado é o MÉTODO: a síntese in-place vence no CITRA, que é dominado por embarcações pequenas — exatamente o regime onde ela é superior. Como o alvo real de emprego é o CITRA, a síntese é a escolha certa para o modelo em produção, e é também a que entrega o maior recall (detecta mais embarcações, o que mais importa em vigilância).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Qual FONTE de embarcações usar na síntese (ABOShips, InaTechShips ou uma combinação) ainda está sendo determinado: os resultados atuais sugerem que a fonte pode afetar o ganho, mas as comparações disponíveis têm volumes diferentes. A Fase 1 do próximo experimento (Seção 5) resolve isso, comparando as fontes com volume igual. Até lá, o braço validado em produção é o A_joint_ABO (ABOShips).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vantagem do co-treino real aparece só em domínios de embarcações grandes (como o SeaShips), que não é o cenário de emprego. Esse dado é útil para o futuro: se a operação passar a incluir alvos maiores/próximos, a estratégia deve ser revista.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Em todos os casos, o pré-treino direto no dado público (C-pre) é a pior opção e deve ser evitado no pipeline operacional.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Próximo experimento — multi-fonte de embarcações, em duas fases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pergunta que serve diretamente ao modelo operacional: usar embarcações sintéticas de mais de uma fonte torna o modelo do CITRA mais assertivo? E, antes disso: entre as fontes disponíveis, alguma rende melhor que a outra quando comparadas de forma justa? Dispomos de crops de duas fontes em extremos opostos do eixo estrutural — ABOShips (a mais próxima) e InaTechShips (a mais distante) — o que torna a comparação especialmente informativa. Todas as embarcações são sempre coladas na escala do CITRA (composição in-place), e o ganho é medido no PRÓPRIO CITRA (o alvo operacional).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— "a fonte importa?" (volume igual):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Compara as duas fontes isoladamente, com o MESMO número de crops (V = o menor volume entre elas; a maior é subamostrada para igualar). Como os dois braços têm volume idêntico, background idêntico e protocolo idêntico, a única variável é a fonte — isolando o efeito dela.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1)</w:t>
            </w:r>
          </w:p>
        </w:tc>
        <w:tc>
          <w:tcPr>
            <w:tcW w:type="dxa" w:w="4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M_ABO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ABOShips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M_InaTech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InaTechShips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Resultado esperado: se M_InaTech &gt; M_ABO (com volume igual), a diversidade/qualidade da fonte pesa mais que a proximidade estrutural. Se empatarem, a fonte não importa quando o volume é igual — o que vale é apenas o redimensionamento para a escala do CITRA. Qualquer desfecho é uma conclusão de engenharia útil e limpa.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— "combinar ajuda?" (com controle de volume):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Só se a Fase 1 justificar. Ao juntar duas fontes, mudam DUAS coisas: a diversidade de fontes e o volume. Para saber se um ganho vem da diversidade (e não de simplesmente mais dados), o braço de combinação é comparado a um controle de MESMO volume, porém de fonte única.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2)</w:t>
            </w:r>
          </w:p>
        </w:tc>
        <w:tc>
          <w:tcPr>
            <w:tcW w:type="dxa" w:w="4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M_both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InaTech + ABO (V de cada)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  <w:tr>
        <w:tc>
          <w:tcPr>
            <w:tcW w:type="dxa" w:w="3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M_control</w:t>
            </w:r>
          </w:p>
        </w:tc>
        <w:tc>
          <w:tcPr>
            <w:tcW w:type="dxa" w:w="4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a melhor fonte da Fase 1, dobrada</w:t>
            </w:r>
          </w:p>
        </w:tc>
        <w:tc>
          <w:tcPr>
            <w:tcW w:type="dxa" w:w="2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Comparando M_both com M_control (ambos com volume 2V), isola-se o efeito da diversidade de fontes: se M_both &gt; M_control, combinar fontes ajuda de fato; se empatarem, o ganho vinha do volume, e basta escalar a melhor fonte única (mais simples de manter em produção).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Custo estimado: Fase 1 acrescenta 1 braço novo (M_InaTech; o M_ABO já foi treinado) × 3 repetições; a Fase 2 acrescenta mais 2 braços × 3 repetições, apenas se justificada. Toda a infraestrutura de composição e treino já está construída. O foco é a decisão de engenharia: qual composição de dataset produz o modelo operacional mais assertivo no CITRA — as publicações são a formalização desse trabalho.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Próximos passos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 base nos resultados, os próximos passos definidos são: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Adotar a síntese in-place (A_joint_ABO) como estratégia de aumento do modelo operacional do CITRA — é a que mais acerta no cenário-alvo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Executar a Fase 1 do experimento multi-fonte (Seção 5): treinar M_InaTech no mesmo volume do M_ABO e responder se a fonte importa quando o volume é igualado.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Conforme o resultado da Fase 1, executar a Fase 2 (combinar fontes com controle de volume) para decidir se um dataset multi-fonte torna o modelo do CITRA ainda mais assertivo.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Manter o monitoramento por escala: se o cenário de emprego passar a incluir embarcações maiores/próximas, reavaliar a estratégia (o co-treino real passa a ser competitivo).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Consolidar a versão estendida em periódico — formalização do trabalho, subproduto da construção do modelo.</w:t>
      </w:r>
    </w:p>
    <w:p>
      <w:pPr>
        <w:spacing w:after="200" w:before="100"/>
      </w:pPr>
      <w:r>
        <w:rPr>
          <w:rFonts w:ascii="Calibri" w:cs="Calibri" w:eastAsia="Calibri" w:hAnsi="Calibri"/>
          <w:sz w:val="22"/>
          <w:szCs w:val="22"/>
        </w:rPr>
        <w:t xml:space="preserve">Todo o código, dados de resultado e figuras estão versionados no repositório do projeto: github.com/DanielaLFreire/maritime-crossdomain.</w:t>
      </w:r>
    </w:p>
    <w:p>
      <w:pPr>
        <w:pBdr>
          <w:top w:val="single" w:color="607d8b" w:sz="6"/>
        </w:pBdr>
        <w:spacing w:before="200"/>
      </w:pPr>
      <w:r>
        <w:rPr>
          <w:rFonts w:ascii="Calibri" w:cs="Calibri" w:eastAsia="Calibri" w:hAnsi="Calibri"/>
          <w:i/>
          <w:iCs/>
          <w:color w:val="607d8b"/>
          <w:sz w:val="16"/>
          <w:szCs w:val="16"/>
        </w:rPr>
        <w:t xml:space="preserve">Documento técnico interno — dados operacionais restritos. Fontes públicas citadas conforme licenças originais.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a0078531df5f66845b2cb6673cf89a38222816.png"/><Relationship Id="rId8" Type="http://schemas.openxmlformats.org/officeDocument/2006/relationships/image" Target="media/7ef1730e1bad38bee68e454cf8d557a80b0e8ff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2026-07-14T19:05:17.472Z</dcterms:created>
  <dcterms:modified xsi:type="dcterms:W3CDTF">2026-07-14T19:05:17.485Z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