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 xml:space="preserve">ESPECIFICACIÓN DE REQUERIMIENTOS DE SOFTWARE PARA EL SISTEMA BANQUITO CON SOAP EN JAVA Y MySQL</w:t>
                            </w:r>
                            <w:r w:rsidR="0030127C">
                              <w:rPr>
                                <w:sz w:val="44"/>
                                <w:szCs w:val="44"/>
                              </w:rPr>
                              <w:t xml:space="preserve"/>
                            </w:r>
                            <w:r w:rsidR="00665354">
                              <w:rPr>
                                <w:sz w:val="44"/>
                                <w:szCs w:val="44"/>
                              </w:rPr>
                              <w:t/>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spacing w:before="60" w:after="80" w:line="276" w:lineRule="auto"/>
                              <w:jc w:val="center"/>
                              <w:rPr>
                                <w:rFonts w:eastAsia="Adobe Fangsong Std R" w:cstheme="minorHAnsi"/>
                                <w:b/>
                                <w:color w:val="000000"/>
                                <w:sz w:val="32"/>
                                <w:szCs w:val="28"/>
                                <w:lang w:eastAsia="es-EC"/>
                              </w:rPr>
                            </w:pPr>
                            <w:r>
                              <w:rPr>
                                <w:rFonts w:ascii="Calibri" w:hAnsi="Calibri"/>
                                <w:b/>
                                <w:color w:val="000000"/>
                                <w:sz w:val="22"/>
                              </w:rPr>
                              <w:t xml:space="preserve">Autores</w:t>
                            </w:r>
                          </w:p>
                          <w:p w14:paraId="7611EDB3" w14:textId="48D7F6F1" w:rsidR="0085688E" w:rsidRDefault="009721C2" w:rsidP="0085688E">
                            <w:pPr>
                              <w:spacing w:before="60" w:after="80" w:line="276" w:lineRule="auto"/>
                              <w:jc w:val="center"/>
                            </w:pPr>
                            <w:r>
                              <w:rPr>
                                <w:rFonts w:ascii="Calibri" w:hAnsi="Calibri"/>
                                <w:b/>
                                <w:color w:val="000000"/>
                                <w:sz w:val="24"/>
                              </w:rPr>
                              <w:t>Daniela Lissette Tituaña Moreno</w:t>
                            </w:r>
                          </w:p>
                          <w:p w14:paraId="7611EDB3" w14:textId="48D7F6F1" w:rsidR="0085688E" w:rsidRDefault="009721C2" w:rsidP="0085688E">
                            <w:pPr>
                              <w:spacing w:before="60" w:after="80" w:line="276" w:lineRule="auto"/>
                              <w:jc w:val="center"/>
                            </w:pPr>
                            <w:r>
                              <w:rPr>
                                <w:rFonts w:ascii="Calibri" w:hAnsi="Calibri"/>
                                <w:b/>
                                <w:color w:val="000000"/>
                                <w:sz w:val="24"/>
                              </w:rPr>
                              <w:t xml:space="preserve">Gustavo Stiven Molina Guaico</w:t>
                            </w:r>
                          </w:p>
                          <w:p w14:paraId="28D8DC46" w14:textId="4FED91EF" w:rsidR="0085688E" w:rsidRDefault="009721C2" w:rsidP="0085688E">
                            <w:pPr>
                              <w:spacing w:before="60" w:after="80" w:line="276" w:lineRule="auto"/>
                              <w:jc w:val="center"/>
                            </w:pPr>
                            <w:r>
                              <w:rPr>
                                <w:rFonts w:ascii="Calibri" w:hAnsi="Calibri"/>
                                <w:b/>
                                <w:color w:val="000000"/>
                                <w:sz w:val="22"/>
                              </w:rPr>
                              <w:t>Grupo 08 – NRC 36883</w:t>
                            </w:r>
                          </w:p>
                          <w:p w14:paraId="688F79BE" w14:textId="6EB51AAE" w:rsidR="00DC67DE" w:rsidRDefault="009721C2" w:rsidP="00DC67DE">
                            <w:pPr>
                              <w:spacing w:before="60" w:after="80" w:line="276" w:lineRule="auto"/>
                              <w:jc w:val="center"/>
                            </w:pPr>
                            <w:r>
                              <w:rPr>
                                <w:rFonts w:ascii="Calibri" w:hAnsi="Calibri"/>
                                <w:b/>
                                <w:color w:val="000000"/>
                                <w:sz w:val="22"/>
                              </w:rPr>
                              <w:t>Periodo Académico PAO 202651</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spacing w:before="60" w:after="80" w:line="276" w:lineRule="auto"/>
                              <w:jc w:val="center"/>
                            </w:pPr>
                            <w:r>
                              <w:rPr>
                                <w:rFonts w:ascii="Calibri" w:hAnsi="Calibri"/>
                                <w:b/>
                                <w:color w:val="000000"/>
                                <w:sz w:val="22"/>
                              </w:rPr>
                              <w:t>Ing. Eduardo Mauricio Campaña Ortega</w:t>
                            </w:r>
                          </w:p>
                          <w:p w14:paraId="73163020" w14:textId="77777777" w:rsidR="00B6784F" w:rsidRPr="003E28A7" w:rsidRDefault="00B6784F" w:rsidP="00B6784F">
                            <w:pPr>
                              <w:spacing w:before="60" w:after="80" w:line="276" w:lineRule="auto"/>
                              <w:jc w:val="center"/>
                            </w:pPr>
                            <w:r>
                              <w:rPr>
                                <w:rFonts w:ascii="Calibri" w:hAnsi="Calibri"/>
                                <w:b w:val="0"/>
                                <w:color w:val="000000"/>
                                <w:sz w:val="19"/>
                              </w:rPr>
                              <w:t>MIS. MDU. CCNA. CCIA.</w:t>
                            </w:r>
                          </w:p>
                          <w:p w14:paraId="35413B4E" w14:textId="77777777" w:rsidR="00B6784F" w:rsidRPr="003E28A7" w:rsidRDefault="00B6784F" w:rsidP="00B6784F">
                            <w:pPr>
                              <w:spacing w:before="60" w:after="80" w:line="276" w:lineRule="auto"/>
                              <w:jc w:val="center"/>
                            </w:pPr>
                            <w:r>
                              <w:rPr>
                                <w:rFonts w:ascii="Calibri" w:hAnsi="Calibri"/>
                                <w:b w:val="0"/>
                                <w:color w:val="000000"/>
                                <w:sz w:val="19"/>
                              </w:rPr>
                              <w:t>PhD. (c) Ingeniería de Software | PhD. (c) Seguridad de la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spacing w:before="60" w:after="80" w:line="276" w:lineRule="auto"/>
                              <w:jc w:val="center"/>
                              <w:rPr>
                                <w:rFonts w:eastAsia="Adobe Fangsong Std R" w:cstheme="minorHAnsi"/>
                                <w:b/>
                                <w:color w:val="000000"/>
                                <w:sz w:val="32"/>
                                <w:szCs w:val="28"/>
                                <w:lang w:eastAsia="es-EC"/>
                              </w:rPr>
                            </w:pPr>
                            <w:r>
                              <w:rPr>
                                <w:rFonts w:ascii="Calibri" w:hAnsi="Calibri"/>
                                <w:b w:val="0"/>
                                <w:color w:val="000000"/>
                                <w:sz w:val="22"/>
                              </w:rPr>
                              <w:t>Octubre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 xml:space="preserve">ESPECIFICACIÓN DE REQUERIMIENTOS DE SOFTWARE PARA EL SISTEMA BANQUITO CON SOAP EN JAVA Y MySQL</w:t>
                      </w:r>
                      <w:r w:rsidR="0030127C">
                        <w:rPr>
                          <w:sz w:val="44"/>
                          <w:szCs w:val="44"/>
                        </w:rPr>
                        <w:t xml:space="preserve"/>
                      </w:r>
                      <w:r w:rsidR="00665354">
                        <w:rPr>
                          <w:sz w:val="44"/>
                          <w:szCs w:val="44"/>
                        </w:rPr>
                        <w:t/>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spacing w:before="60" w:after="80" w:line="276" w:lineRule="auto"/>
                        <w:jc w:val="center"/>
                        <w:rPr>
                          <w:rFonts w:eastAsia="Adobe Fangsong Std R" w:cstheme="minorHAnsi"/>
                          <w:b/>
                          <w:color w:val="000000"/>
                          <w:sz w:val="32"/>
                          <w:szCs w:val="28"/>
                          <w:lang w:eastAsia="es-EC"/>
                        </w:rPr>
                      </w:pPr>
                      <w:r>
                        <w:rPr>
                          <w:rFonts w:ascii="Calibri" w:hAnsi="Calibri"/>
                          <w:b/>
                          <w:color w:val="000000"/>
                          <w:sz w:val="22"/>
                        </w:rPr>
                        <w:t xml:space="preserve">Autores</w:t>
                      </w:r>
                    </w:p>
                    <w:p w14:paraId="7611EDB3" w14:textId="48D7F6F1" w:rsidR="0085688E" w:rsidRDefault="009721C2" w:rsidP="0085688E">
                      <w:pPr>
                        <w:spacing w:before="60" w:after="80" w:line="276" w:lineRule="auto"/>
                        <w:jc w:val="center"/>
                      </w:pPr>
                      <w:r>
                        <w:rPr>
                          <w:rFonts w:ascii="Calibri" w:hAnsi="Calibri"/>
                          <w:b/>
                          <w:color w:val="000000"/>
                          <w:sz w:val="24"/>
                        </w:rPr>
                        <w:t>Daniela Lissette Tituaña Moreno</w:t>
                      </w:r>
                    </w:p>
                    <w:p w14:paraId="7611EDB3" w14:textId="48D7F6F1" w:rsidR="0085688E" w:rsidRDefault="009721C2" w:rsidP="0085688E">
                      <w:pPr>
                        <w:spacing w:before="60" w:after="80" w:line="276" w:lineRule="auto"/>
                        <w:jc w:val="center"/>
                      </w:pPr>
                      <w:r>
                        <w:rPr>
                          <w:rFonts w:ascii="Calibri" w:hAnsi="Calibri"/>
                          <w:b/>
                          <w:color w:val="000000"/>
                          <w:sz w:val="24"/>
                        </w:rPr>
                        <w:t xml:space="preserve">Gustavo Stiven Molina Guaico</w:t>
                      </w:r>
                    </w:p>
                    <w:p w14:paraId="28D8DC46" w14:textId="4FED91EF" w:rsidR="0085688E" w:rsidRDefault="009721C2" w:rsidP="0085688E">
                      <w:pPr>
                        <w:spacing w:before="60" w:after="80" w:line="276" w:lineRule="auto"/>
                        <w:jc w:val="center"/>
                      </w:pPr>
                      <w:r>
                        <w:rPr>
                          <w:rFonts w:ascii="Calibri" w:hAnsi="Calibri"/>
                          <w:b/>
                          <w:color w:val="000000"/>
                          <w:sz w:val="22"/>
                        </w:rPr>
                        <w:t>Grupo 08 – NRC 36883</w:t>
                      </w:r>
                    </w:p>
                    <w:p w14:paraId="688F79BE" w14:textId="6EB51AAE" w:rsidR="00DC67DE" w:rsidRDefault="009721C2" w:rsidP="00DC67DE">
                      <w:pPr>
                        <w:spacing w:before="60" w:after="80" w:line="276" w:lineRule="auto"/>
                        <w:jc w:val="center"/>
                      </w:pPr>
                      <w:r>
                        <w:rPr>
                          <w:rFonts w:ascii="Calibri" w:hAnsi="Calibri"/>
                          <w:b/>
                          <w:color w:val="000000"/>
                          <w:sz w:val="22"/>
                        </w:rPr>
                        <w:t>Periodo Académico PAO 202651</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spacing w:before="60" w:after="80" w:line="276" w:lineRule="auto"/>
                        <w:jc w:val="center"/>
                      </w:pPr>
                      <w:r>
                        <w:rPr>
                          <w:rFonts w:ascii="Calibri" w:hAnsi="Calibri"/>
                          <w:b/>
                          <w:color w:val="000000"/>
                          <w:sz w:val="22"/>
                        </w:rPr>
                        <w:t>Ing. Eduardo Mauricio Campaña Ortega</w:t>
                      </w:r>
                    </w:p>
                    <w:p w14:paraId="73163020" w14:textId="77777777" w:rsidR="00B6784F" w:rsidRPr="003E28A7" w:rsidRDefault="00B6784F" w:rsidP="00B6784F">
                      <w:pPr>
                        <w:spacing w:before="60" w:after="80" w:line="276" w:lineRule="auto"/>
                        <w:jc w:val="center"/>
                      </w:pPr>
                      <w:r>
                        <w:rPr>
                          <w:rFonts w:ascii="Calibri" w:hAnsi="Calibri"/>
                          <w:b w:val="0"/>
                          <w:color w:val="000000"/>
                          <w:sz w:val="19"/>
                        </w:rPr>
                        <w:t>MIS. MDU. CCNA. CCIA.</w:t>
                      </w:r>
                    </w:p>
                    <w:p w14:paraId="35413B4E" w14:textId="77777777" w:rsidR="00B6784F" w:rsidRPr="003E28A7" w:rsidRDefault="00B6784F" w:rsidP="00B6784F">
                      <w:pPr>
                        <w:spacing w:before="60" w:after="80" w:line="276" w:lineRule="auto"/>
                        <w:jc w:val="center"/>
                      </w:pPr>
                      <w:r>
                        <w:rPr>
                          <w:rFonts w:ascii="Calibri" w:hAnsi="Calibri"/>
                          <w:b w:val="0"/>
                          <w:color w:val="000000"/>
                          <w:sz w:val="19"/>
                        </w:rPr>
                        <w:t>PhD. (c) Ingeniería de Software | PhD. (c) Seguridad de la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spacing w:before="60" w:after="80" w:line="276" w:lineRule="auto"/>
                        <w:jc w:val="center"/>
                        <w:rPr>
                          <w:rFonts w:eastAsia="Adobe Fangsong Std R" w:cstheme="minorHAnsi"/>
                          <w:b/>
                          <w:color w:val="000000"/>
                          <w:sz w:val="32"/>
                          <w:szCs w:val="28"/>
                          <w:lang w:eastAsia="es-EC"/>
                        </w:rPr>
                      </w:pPr>
                      <w:r>
                        <w:rPr>
                          <w:rFonts w:ascii="Calibri" w:hAnsi="Calibri"/>
                          <w:b w:val="0"/>
                          <w:color w:val="000000"/>
                          <w:sz w:val="22"/>
                        </w:rPr>
                        <w:t>Octubre 2026</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spacing w:before="60" w:after="80" w:line="276" w:lineRule="auto"/>
        <w:jc w:val="left"/>
      </w:pPr>
      <w:r>
        <w:rPr>
          <w:rFonts w:ascii="Calibri" w:hAnsi="Calibri"/>
          <w:b/>
          <w:color w:val="000000"/>
          <w:sz w:val="24"/>
        </w:rPr>
        <w:t xml:space="preserve">ESPECIFICACIÓN DE REQUERIMIENTOS DE SOFTWARE (ERS) DEL SISTEMA BANQUITO – MÓDULO DE CRÉDITO Y COMERCIALIZADORA DE TELÉFONOS CELULARES</w:t>
      </w:r>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spacing w:before="60" w:after="80" w:line="276" w:lineRule="auto"/>
        <w:jc w:val="left"/>
      </w:pPr>
      <w:r w:rsidRPr="00850009">
        <w:rPr>
          <w:rFonts w:ascii="Calibri" w:hAnsi="Calibri"/>
          <w:b/>
          <w:color w:val="000000"/>
          <w:sz w:val="24"/>
        </w:rPr>
        <w:lastRenderedPageBreak/>
        <w:t>ÍNDICE</w:t>
      </w:r>
      <w:r w:rsidR="0060558D" w:rsidRPr="00850009">
        <w:rPr>
          <w:rFonts w:ascii="Calibri" w:hAnsi="Calibri"/>
          <w:b/>
          <w:color w:val="000000"/>
          <w:sz w:val="24"/>
        </w:rPr>
        <w:t xml:space="preserve"> DE ILUSTRACIONES</w:t>
      </w:r>
    </w:p>
    <w:p w14:paraId="731F8A67" w14:textId="28A9FB51" w:rsidR="009D5E5F" w:rsidRDefault="00733CE4">
      <w:pPr>
        <w:pStyle w:val="Tabladeilustraciones"/>
        <w:tabs>
          <w:tab w:val="right" w:leader="dot" w:pos="9020"/>
        </w:tabs>
        <w:spacing w:before="60" w:after="80" w:line="276" w:lineRule="auto"/>
        <w:jc w:val="left"/>
        <w:rPr>
          <w:rFonts w:asciiTheme="minorHAnsi" w:eastAsiaTheme="minorEastAsia" w:hAnsiTheme="minorHAnsi" w:cstheme="minorBidi"/>
          <w:noProof/>
          <w:lang w:val="es-US" w:eastAsia="es-US"/>
        </w:rPr>
      </w:pPr>
      <w:r w:rsidRPr="00850009">
        <w:rPr>
          <w:rFonts w:ascii="Calibri" w:hAnsi="Calibri"/>
          <w:b/>
          <w:color w:val="000000"/>
          <w:sz w:val="21"/>
        </w:rPr>
        <w:fldChar w:fldCharType="begin"/>
      </w:r>
      <w:r w:rsidRPr="00850009">
        <w:rPr>
          <w:rFonts w:ascii="Calibri" w:hAnsi="Calibri"/>
          <w:b/>
          <w:color w:val="000000"/>
          <w:sz w:val="21"/>
        </w:rPr>
        <w:instrText xml:space="preserve"> TOC \h \z \c "Ilustración" </w:instrText>
      </w:r>
      <w:r w:rsidRPr="00850009">
        <w:rPr>
          <w:rFonts w:ascii="Calibri" w:hAnsi="Calibri"/>
          <w:b/>
          <w:color w:val="000000"/>
          <w:sz w:val="21"/>
        </w:rPr>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spacing w:before="60" w:after="80" w:line="276" w:lineRule="auto"/>
        <w:jc w:val="left"/>
      </w:pPr>
      <w:r>
        <w:rPr>
          <w:rFonts w:ascii="Calibri" w:hAnsi="Calibri"/>
          <w:b/>
          <w:color w:val="000000"/>
          <w:sz w:val="24"/>
        </w:rPr>
        <w:t>ÍNDICE DE TABLAS</w:t>
      </w:r>
    </w:p>
    <w:p>
      <w:pPr>
        <w:pStyle w:val="Tabladeilustraciones"/>
        <w:tabs>
          <w:tab w:val="right" w:leader="dot" w:pos="9020"/>
        </w:tabs>
        <w:spacing w:before="60" w:after="80" w:line="276" w:lineRule="auto"/>
        <w:jc w:val="left"/>
        <w:rPr>
          <w:rFonts w:ascii="Calibri" w:hAnsi="Calibri"/>
          <w:color w:val="000000"/>
          <w:sz w:val="21"/>
        </w:rPr>
      </w:pPr>
      <w:r>
        <w:rPr>
          <w:rFonts w:ascii="Calibri" w:hAnsi="Calibri"/>
          <w:b/>
          <w:color w:val="000000"/>
          <w:sz w:val="21"/>
        </w:rPr>
        <w:fldChar w:fldCharType="begin"/>
      </w:r>
      <w:r>
        <w:rPr>
          <w:rFonts w:ascii="Calibri" w:hAnsi="Calibri"/>
          <w:b/>
          <w:color w:val="000000"/>
          <w:sz w:val="21"/>
        </w:rPr>
        <w:instrText xml:space="preserve"> TOC \h \z \c "Tabla" </w:instrText>
      </w:r>
      <w:r>
        <w:rPr>
          <w:rFonts w:ascii="Calibri" w:hAnsi="Calibri"/>
          <w:b/>
          <w:color w:val="000000"/>
          <w:sz w:val="21"/>
        </w:rPr>
        <w:fldChar w:fldCharType="separate"/>
      </w:r>
      <w:hyperlink w:anchor="_Toc_Tabla_01" w:history="1">
        <w:r>
          <w:rPr>
            <w:rFonts w:ascii="Calibri" w:hAnsi="Calibri"/>
            <w:color w:val="000000"/>
            <w:sz w:val="21"/>
          </w:rPr>
          <w:t>Tabla 1. Definiciones</w:t>
        </w:r>
        <w:r>
          <w:tab/>
        </w:r>
        <w:r>
          <w:fldChar w:fldCharType="begin"/>
        </w:r>
        <w:r>
          <w:instrText xml:space="preserve"> PAGEREF _Toc_Tabla_01 \h </w:instrText>
        </w:r>
        <w:r>
          <w:fldChar w:fldCharType="separate"/>
        </w:r>
        <w:r>
          <w:rPr>
            <w:rFonts w:ascii="Calibri" w:hAnsi="Calibri"/>
            <w:color w:val="000000"/>
            <w:sz w:val="21"/>
          </w:rPr>
          <w:t>7</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2" w:history="1">
        <w:r>
          <w:rPr>
            <w:rFonts w:ascii="Calibri" w:hAnsi="Calibri"/>
            <w:color w:val="000000"/>
            <w:sz w:val="21"/>
          </w:rPr>
          <w:t>Tabla 2. Acrónimo y abreviaturas</w:t>
        </w:r>
        <w:r>
          <w:tab/>
        </w:r>
        <w:r>
          <w:fldChar w:fldCharType="begin"/>
        </w:r>
        <w:r>
          <w:instrText xml:space="preserve"> PAGEREF _Toc_Tabla_02 \h </w:instrText>
        </w:r>
        <w:r>
          <w:fldChar w:fldCharType="separate"/>
        </w:r>
        <w:r>
          <w:rPr>
            <w:rFonts w:ascii="Calibri" w:hAnsi="Calibri"/>
            <w:color w:val="000000"/>
            <w:sz w:val="21"/>
          </w:rPr>
          <w:t>9</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3" w:history="1">
        <w:r>
          <w:rPr>
            <w:rFonts w:ascii="Calibri" w:hAnsi="Calibri"/>
            <w:color w:val="000000"/>
            <w:sz w:val="21"/>
          </w:rPr>
          <w:t>Tabla 3. Referencias Normativas y Estándares</w:t>
        </w:r>
        <w:r>
          <w:tab/>
        </w:r>
        <w:r>
          <w:fldChar w:fldCharType="begin"/>
        </w:r>
        <w:r>
          <w:instrText xml:space="preserve"> PAGEREF _Toc_Tabla_03 \h </w:instrText>
        </w:r>
        <w:r>
          <w:fldChar w:fldCharType="separate"/>
        </w:r>
        <w:r>
          <w:rPr>
            <w:rFonts w:ascii="Calibri" w:hAnsi="Calibri"/>
            <w:color w:val="000000"/>
            <w:sz w:val="21"/>
          </w:rPr>
          <w:t>10</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4" w:history="1">
        <w:r>
          <w:rPr>
            <w:rFonts w:ascii="Calibri" w:hAnsi="Calibri"/>
            <w:color w:val="000000"/>
            <w:sz w:val="21"/>
          </w:rPr>
          <w:t>Tabla 4. Catálogo Oficial de Magnitudes Físicas, Unidades y Factores de Conversión (GR08)</w:t>
        </w:r>
        <w:r>
          <w:tab/>
        </w:r>
        <w:r>
          <w:fldChar w:fldCharType="begin"/>
        </w:r>
        <w:r>
          <w:instrText xml:space="preserve"> PAGEREF _Toc_Tabla_04 \h </w:instrText>
        </w:r>
        <w:r>
          <w:fldChar w:fldCharType="separate"/>
        </w:r>
        <w:r>
          <w:rPr>
            <w:rFonts w:ascii="Calibri" w:hAnsi="Calibri"/>
            <w:color w:val="000000"/>
            <w:sz w:val="21"/>
          </w:rPr>
          <w:t>12</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5" w:history="1">
        <w:r>
          <w:rPr>
            <w:rFonts w:ascii="Calibri" w:hAnsi="Calibri"/>
            <w:color w:val="000000"/>
            <w:sz w:val="21"/>
          </w:rPr>
          <w:t>Tabla 5. Caracterización del Usuario Final (Monster)</w:t>
        </w:r>
        <w:r>
          <w:tab/>
        </w:r>
        <w:r>
          <w:fldChar w:fldCharType="begin"/>
        </w:r>
        <w:r>
          <w:instrText xml:space="preserve"> PAGEREF _Toc_Tabla_05 \h </w:instrText>
        </w:r>
        <w:r>
          <w:fldChar w:fldCharType="separate"/>
        </w:r>
        <w:r>
          <w:rPr>
            <w:rFonts w:ascii="Calibri" w:hAnsi="Calibri"/>
            <w:color w:val="000000"/>
            <w:sz w:val="21"/>
          </w:rPr>
          <w:t>14</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6" w:history="1">
        <w:r>
          <w:rPr>
            <w:rFonts w:ascii="Calibri" w:hAnsi="Calibri"/>
            <w:color w:val="000000"/>
            <w:sz w:val="21"/>
          </w:rPr>
          <w:t>Tabla 6. Requisitos de interfaces de hardware</w:t>
        </w:r>
        <w:r>
          <w:tab/>
        </w:r>
        <w:r>
          <w:fldChar w:fldCharType="begin"/>
        </w:r>
        <w:r>
          <w:instrText xml:space="preserve"> PAGEREF _Toc_Tabla_06 \h </w:instrText>
        </w:r>
        <w:r>
          <w:fldChar w:fldCharType="separate"/>
        </w:r>
        <w:r>
          <w:rPr>
            <w:rFonts w:ascii="Calibri" w:hAnsi="Calibri"/>
            <w:color w:val="000000"/>
            <w:sz w:val="21"/>
          </w:rPr>
          <w:t>15</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7" w:history="1">
        <w:r>
          <w:rPr>
            <w:rFonts w:ascii="Calibri" w:hAnsi="Calibri"/>
            <w:color w:val="000000"/>
            <w:sz w:val="21"/>
          </w:rPr>
          <w:t>Tabla 7. Requisitos de interfaces de software y entorno de ejecución</w:t>
        </w:r>
        <w:r>
          <w:tab/>
        </w:r>
        <w:r>
          <w:fldChar w:fldCharType="begin"/>
        </w:r>
        <w:r>
          <w:instrText xml:space="preserve"> PAGEREF _Toc_Tabla_07 \h </w:instrText>
        </w:r>
        <w:r>
          <w:fldChar w:fldCharType="separate"/>
        </w:r>
        <w:r>
          <w:rPr>
            <w:rFonts w:ascii="Calibri" w:hAnsi="Calibri"/>
            <w:color w:val="000000"/>
            <w:sz w:val="21"/>
          </w:rPr>
          <w:t>16</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8" w:history="1">
        <w:r>
          <w:rPr>
            <w:rFonts w:ascii="Calibri" w:hAnsi="Calibri"/>
            <w:color w:val="000000"/>
            <w:sz w:val="21"/>
          </w:rPr>
          <w:t>Tabla 8. Estructura de Códigos de Respuesta y Gestión de Excepciones SOAP (GR08)</w:t>
        </w:r>
        <w:r>
          <w:tab/>
        </w:r>
        <w:r>
          <w:fldChar w:fldCharType="begin"/>
        </w:r>
        <w:r>
          <w:instrText xml:space="preserve"> PAGEREF _Toc_Tabla_08 \h </w:instrText>
        </w:r>
        <w:r>
          <w:fldChar w:fldCharType="separate"/>
        </w:r>
        <w:r>
          <w:rPr>
            <w:rFonts w:ascii="Calibri" w:hAnsi="Calibri"/>
            <w:color w:val="000000"/>
            <w:sz w:val="21"/>
          </w:rPr>
          <w:t>17</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9" w:history="1">
        <w:r>
          <w:rPr>
            <w:rFonts w:ascii="Calibri" w:hAnsi="Calibri"/>
            <w:color w:val="000000"/>
            <w:sz w:val="21"/>
          </w:rPr>
          <w:t>Tabla 9. Objetivo OBJ-001: Autenticar el acceso de los clientes</w:t>
        </w:r>
        <w:r>
          <w:tab/>
        </w:r>
        <w:r>
          <w:fldChar w:fldCharType="begin"/>
        </w:r>
        <w:r>
          <w:instrText xml:space="preserve"> PAGEREF _Toc_Tabla_09 \h </w:instrText>
        </w:r>
        <w:r>
          <w:fldChar w:fldCharType="separate"/>
        </w:r>
        <w:r>
          <w:rPr>
            <w:rFonts w:ascii="Calibri" w:hAnsi="Calibri"/>
            <w:color w:val="000000"/>
            <w:sz w:val="21"/>
          </w:rPr>
          <w:t>18</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0" w:history="1">
        <w:r>
          <w:rPr>
            <w:rFonts w:ascii="Calibri" w:hAnsi="Calibri"/>
            <w:color w:val="000000"/>
            <w:sz w:val="21"/>
          </w:rPr>
          <w:t>Tabla 10. Objetivo OBJ-002: Realizar conversiones de magnitudes físicas</w:t>
        </w:r>
        <w:r>
          <w:tab/>
        </w:r>
        <w:r>
          <w:fldChar w:fldCharType="begin"/>
        </w:r>
        <w:r>
          <w:instrText xml:space="preserve"> PAGEREF _Toc_Tabla_10 \h </w:instrText>
        </w:r>
        <w:r>
          <w:fldChar w:fldCharType="separate"/>
        </w:r>
        <w:r>
          <w:rPr>
            <w:rFonts w:ascii="Calibri" w:hAnsi="Calibri"/>
            <w:color w:val="000000"/>
            <w:sz w:val="21"/>
          </w:rPr>
          <w:t>18</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1" w:history="1">
        <w:r>
          <w:rPr>
            <w:rFonts w:ascii="Calibri" w:hAnsi="Calibri"/>
            <w:color w:val="000000"/>
            <w:sz w:val="21"/>
          </w:rPr>
          <w:t>Tabla 11. Actor ACT-001: Usuario Final (Monster)</w:t>
        </w:r>
        <w:r>
          <w:tab/>
        </w:r>
        <w:r>
          <w:fldChar w:fldCharType="begin"/>
        </w:r>
        <w:r>
          <w:instrText xml:space="preserve"> PAGEREF _Toc_Tabla_11 \h </w:instrText>
        </w:r>
        <w:r>
          <w:fldChar w:fldCharType="separate"/>
        </w:r>
        <w:r>
          <w:rPr>
            <w:rFonts w:ascii="Calibri" w:hAnsi="Calibri"/>
            <w:color w:val="000000"/>
            <w:sz w:val="21"/>
          </w:rPr>
          <w:t>19</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2" w:history="1">
        <w:r>
          <w:rPr>
            <w:rFonts w:ascii="Calibri" w:hAnsi="Calibri"/>
            <w:color w:val="000000"/>
            <w:sz w:val="21"/>
          </w:rPr>
          <w:t>Tabla 12. Matriz de Requisitos Funcionales del Sistema (RF-01 a RF-07)</w:t>
        </w:r>
        <w:r>
          <w:tab/>
        </w:r>
        <w:r>
          <w:fldChar w:fldCharType="begin"/>
        </w:r>
        <w:r>
          <w:instrText xml:space="preserve"> PAGEREF _Toc_Tabla_12 \h </w:instrText>
        </w:r>
        <w:r>
          <w:fldChar w:fldCharType="separate"/>
        </w:r>
        <w:r>
          <w:rPr>
            <w:rFonts w:ascii="Calibri" w:hAnsi="Calibri"/>
            <w:color w:val="000000"/>
            <w:sz w:val="21"/>
          </w:rPr>
          <w:t>20</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3" w:history="1">
        <w:r>
          <w:rPr>
            <w:rFonts w:ascii="Calibri" w:hAnsi="Calibri"/>
            <w:color w:val="000000"/>
            <w:sz w:val="21"/>
          </w:rPr>
          <w:t>Tabla 13. Especificación RQF-001: Autenticar Cliente (CU-01)</w:t>
        </w:r>
        <w:r>
          <w:tab/>
        </w:r>
        <w:r>
          <w:fldChar w:fldCharType="begin"/>
        </w:r>
        <w:r>
          <w:instrText xml:space="preserve"> PAGEREF _Toc_Tabla_13 \h </w:instrText>
        </w:r>
        <w:r>
          <w:fldChar w:fldCharType="separate"/>
        </w:r>
        <w:r>
          <w:rPr>
            <w:rFonts w:ascii="Calibri" w:hAnsi="Calibri"/>
            <w:color w:val="000000"/>
            <w:sz w:val="21"/>
          </w:rPr>
          <w:t>21</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4" w:history="1">
        <w:r>
          <w:rPr>
            <w:rFonts w:ascii="Calibri" w:hAnsi="Calibri"/>
            <w:color w:val="000000"/>
            <w:sz w:val="21"/>
          </w:rPr>
          <w:t>Tabla 14. Especificación RQF-002: Convertir Longitud (CU-05)</w:t>
        </w:r>
        <w:r>
          <w:tab/>
        </w:r>
        <w:r>
          <w:fldChar w:fldCharType="begin"/>
        </w:r>
        <w:r>
          <w:instrText xml:space="preserve"> PAGEREF _Toc_Tabla_14 \h </w:instrText>
        </w:r>
        <w:r>
          <w:fldChar w:fldCharType="separate"/>
        </w:r>
        <w:r>
          <w:rPr>
            <w:rFonts w:ascii="Calibri" w:hAnsi="Calibri"/>
            <w:color w:val="000000"/>
            <w:sz w:val="21"/>
          </w:rPr>
          <w:t>22</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5" w:history="1">
        <w:r>
          <w:rPr>
            <w:rFonts w:ascii="Calibri" w:hAnsi="Calibri"/>
            <w:color w:val="000000"/>
            <w:sz w:val="21"/>
          </w:rPr>
          <w:t>Tabla 15. Especificación RQF-003: Convertir Masa (CU-06)</w:t>
        </w:r>
        <w:r>
          <w:tab/>
        </w:r>
        <w:r>
          <w:fldChar w:fldCharType="begin"/>
        </w:r>
        <w:r>
          <w:instrText xml:space="preserve"> PAGEREF _Toc_Tabla_15 \h </w:instrText>
        </w:r>
        <w:r>
          <w:fldChar w:fldCharType="separate"/>
        </w:r>
        <w:r>
          <w:rPr>
            <w:rFonts w:ascii="Calibri" w:hAnsi="Calibri"/>
            <w:color w:val="000000"/>
            <w:sz w:val="21"/>
          </w:rPr>
          <w:t>22</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6" w:history="1">
        <w:r>
          <w:rPr>
            <w:rFonts w:ascii="Calibri" w:hAnsi="Calibri"/>
            <w:color w:val="000000"/>
            <w:sz w:val="21"/>
          </w:rPr>
          <w:t>Tabla 16. Especificación RQF-004: Convertir Temperatura (CU-07)</w:t>
        </w:r>
        <w:r>
          <w:tab/>
        </w:r>
        <w:r>
          <w:fldChar w:fldCharType="begin"/>
        </w:r>
        <w:r>
          <w:instrText xml:space="preserve"> PAGEREF _Toc_Tabla_16 \h </w:instrText>
        </w:r>
        <w:r>
          <w:fldChar w:fldCharType="separate"/>
        </w:r>
        <w:r>
          <w:rPr>
            <w:rFonts w:ascii="Calibri" w:hAnsi="Calibri"/>
            <w:color w:val="000000"/>
            <w:sz w:val="21"/>
          </w:rPr>
          <w:t>23</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7" w:history="1">
        <w:r>
          <w:rPr>
            <w:rFonts w:ascii="Calibri" w:hAnsi="Calibri"/>
            <w:color w:val="000000"/>
            <w:sz w:val="21"/>
          </w:rPr>
          <w:t>Tabla 17. Requerimiento No Funcional RNF-001: Protocolo de Arquitectura (SOAP / JAX-WS)</w:t>
        </w:r>
        <w:r>
          <w:tab/>
        </w:r>
        <w:r>
          <w:fldChar w:fldCharType="begin"/>
        </w:r>
        <w:r>
          <w:instrText xml:space="preserve"> PAGEREF _Toc_Tabla_17 \h </w:instrText>
        </w:r>
        <w:r>
          <w:fldChar w:fldCharType="separate"/>
        </w:r>
        <w:r>
          <w:rPr>
            <w:rFonts w:ascii="Calibri" w:hAnsi="Calibri"/>
            <w:color w:val="000000"/>
            <w:sz w:val="21"/>
          </w:rPr>
          <w:t>24</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8" w:history="1">
        <w:r>
          <w:rPr>
            <w:rFonts w:ascii="Calibri" w:hAnsi="Calibri"/>
            <w:color w:val="000000"/>
            <w:sz w:val="21"/>
          </w:rPr>
          <w:t>Tabla 18. Requerimiento No Funcional RNF-002: Especificación y Lenguaje (Java JDK 21 / Jakarta EE)</w:t>
        </w:r>
        <w:r>
          <w:tab/>
        </w:r>
        <w:r>
          <w:fldChar w:fldCharType="begin"/>
        </w:r>
        <w:r>
          <w:instrText xml:space="preserve"> PAGEREF _Toc_Tabla_18 \h </w:instrText>
        </w:r>
        <w:r>
          <w:fldChar w:fldCharType="separate"/>
        </w:r>
        <w:r>
          <w:rPr>
            <w:rFonts w:ascii="Calibri" w:hAnsi="Calibri"/>
            <w:color w:val="000000"/>
            <w:sz w:val="21"/>
          </w:rPr>
          <w:t>24</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9" w:history="1">
        <w:r>
          <w:rPr>
            <w:rFonts w:ascii="Calibri" w:hAnsi="Calibri"/>
            <w:color w:val="000000"/>
            <w:sz w:val="21"/>
          </w:rPr>
          <w:t>Tabla 19. Requerimiento No Funcional RNF-003: Entorno de Desarrollo (Apache NetBeans IDE 24)</w:t>
        </w:r>
        <w:r>
          <w:tab/>
        </w:r>
        <w:r>
          <w:fldChar w:fldCharType="begin"/>
        </w:r>
        <w:r>
          <w:instrText xml:space="preserve"> PAGEREF _Toc_Tabla_19 \h </w:instrText>
        </w:r>
        <w:r>
          <w:fldChar w:fldCharType="separate"/>
        </w:r>
        <w:r>
          <w:rPr>
            <w:rFonts w:ascii="Calibri" w:hAnsi="Calibri"/>
            <w:color w:val="000000"/>
            <w:sz w:val="21"/>
          </w:rPr>
          <w:t>24</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0" w:history="1">
        <w:r>
          <w:rPr>
            <w:rFonts w:ascii="Calibri" w:hAnsi="Calibri"/>
            <w:color w:val="000000"/>
            <w:sz w:val="21"/>
          </w:rPr>
          <w:t>Tabla 20. Requerimiento No Funcional RNF-004: Servidor de Aplicaciones (Payara Server 7)</w:t>
        </w:r>
        <w:r>
          <w:tab/>
        </w:r>
        <w:r>
          <w:fldChar w:fldCharType="begin"/>
        </w:r>
        <w:r>
          <w:instrText xml:space="preserve"> PAGEREF _Toc_Tabla_20 \h </w:instrText>
        </w:r>
        <w:r>
          <w:fldChar w:fldCharType="separate"/>
        </w:r>
        <w:r>
          <w:rPr>
            <w:rFonts w:ascii="Calibri" w:hAnsi="Calibri"/>
            <w:color w:val="000000"/>
            <w:sz w:val="21"/>
          </w:rPr>
          <w:t>25</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1" w:history="1">
        <w:r>
          <w:rPr>
            <w:rFonts w:ascii="Calibri" w:hAnsi="Calibri"/>
            <w:color w:val="000000"/>
            <w:sz w:val="21"/>
          </w:rPr>
          <w:t>Tabla 21. Requerimiento No Funcional RNF-005: Seguridad y Autorización mediante Token UUID en Memoria</w:t>
        </w:r>
        <w:r>
          <w:tab/>
        </w:r>
        <w:r>
          <w:fldChar w:fldCharType="begin"/>
        </w:r>
        <w:r>
          <w:instrText xml:space="preserve"> PAGEREF _Toc_Tabla_21 \h </w:instrText>
        </w:r>
        <w:r>
          <w:fldChar w:fldCharType="separate"/>
        </w:r>
        <w:r>
          <w:rPr>
            <w:rFonts w:ascii="Calibri" w:hAnsi="Calibri"/>
            <w:color w:val="000000"/>
            <w:sz w:val="21"/>
          </w:rPr>
          <w:t>25</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2" w:history="1">
        <w:r>
          <w:rPr>
            <w:rFonts w:ascii="Calibri" w:hAnsi="Calibri"/>
            <w:color w:val="000000"/>
            <w:sz w:val="21"/>
          </w:rPr>
          <w:t>Tabla 22. Requerimiento No Funcional RNF-006: Interoperabilidad Multi-canal (Consola, Escritorio Swing, Web JSP, Móvil Android)</w:t>
        </w:r>
        <w:r>
          <w:tab/>
        </w:r>
        <w:r>
          <w:fldChar w:fldCharType="begin"/>
        </w:r>
        <w:r>
          <w:instrText xml:space="preserve"> PAGEREF _Toc_Tabla_22 \h </w:instrText>
        </w:r>
        <w:r>
          <w:fldChar w:fldCharType="separate"/>
        </w:r>
        <w:r>
          <w:rPr>
            <w:rFonts w:ascii="Calibri" w:hAnsi="Calibri"/>
            <w:color w:val="000000"/>
            <w:sz w:val="21"/>
          </w:rPr>
          <w:t>25</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3" w:history="1">
        <w:r>
          <w:rPr>
            <w:rFonts w:ascii="Calibri" w:hAnsi="Calibri"/>
            <w:color w:val="000000"/>
            <w:sz w:val="21"/>
          </w:rPr>
          <w:t>Tabla 23. Requerimiento No Funcional RNF-007: Identidad Visual Monsters Inc y Mantenimiento</w:t>
        </w:r>
        <w:r>
          <w:tab/>
        </w:r>
        <w:r>
          <w:fldChar w:fldCharType="begin"/>
        </w:r>
        <w:r>
          <w:instrText xml:space="preserve"> PAGEREF _Toc_Tabla_23 \h </w:instrText>
        </w:r>
        <w:r>
          <w:fldChar w:fldCharType="separate"/>
        </w:r>
        <w:r>
          <w:rPr>
            <w:rFonts w:ascii="Calibri" w:hAnsi="Calibri"/>
            <w:color w:val="000000"/>
            <w:sz w:val="21"/>
          </w:rPr>
          <w:t>26</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4" w:history="1">
        <w:r>
          <w:rPr>
            <w:rFonts w:ascii="Calibri" w:hAnsi="Calibri"/>
            <w:color w:val="000000"/>
            <w:sz w:val="21"/>
          </w:rPr>
          <w:t>Tabla 24. Comparativa Técnica y Arquitectónica de los Cuatro Clientes Multi-canal (GR08)</w:t>
        </w:r>
        <w:r>
          <w:tab/>
        </w:r>
        <w:r>
          <w:fldChar w:fldCharType="begin"/>
        </w:r>
        <w:r>
          <w:instrText xml:space="preserve"> PAGEREF _Toc_Tabla_24 \h </w:instrText>
        </w:r>
        <w:r>
          <w:fldChar w:fldCharType="separate"/>
        </w:r>
        <w:r>
          <w:rPr>
            <w:rFonts w:ascii="Calibri" w:hAnsi="Calibri"/>
            <w:color w:val="000000"/>
            <w:sz w:val="21"/>
          </w:rPr>
          <w:t>27</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5" w:history="1">
        <w:r>
          <w:rPr>
            <w:rFonts w:ascii="Calibri" w:hAnsi="Calibri"/>
            <w:color w:val="000000"/>
            <w:sz w:val="21"/>
          </w:rPr>
          <w:t>Tabla 25. Matriz de Operaciones y Parámetros del Contrato SOAP WSDL (GR08)</w:t>
        </w:r>
        <w:r>
          <w:tab/>
        </w:r>
        <w:r>
          <w:fldChar w:fldCharType="begin"/>
        </w:r>
        <w:r>
          <w:instrText xml:space="preserve"> PAGEREF _Toc_Tabla_25 \h </w:instrText>
        </w:r>
        <w:r>
          <w:fldChar w:fldCharType="separate"/>
        </w:r>
        <w:r>
          <w:rPr>
            <w:rFonts w:ascii="Calibri" w:hAnsi="Calibri"/>
            <w:color w:val="000000"/>
            <w:sz w:val="21"/>
          </w:rPr>
          <w:t>28</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6" w:history="1">
        <w:r>
          <w:rPr>
            <w:rFonts w:ascii="Calibri" w:hAnsi="Calibri"/>
            <w:color w:val="000000"/>
            <w:sz w:val="21"/>
          </w:rPr>
          <w:t>Tabla 26. Matriz de Trazabilidad entre Requisitos y Componentes de Software (GR08)</w:t>
        </w:r>
        <w:r>
          <w:tab/>
        </w:r>
        <w:r>
          <w:fldChar w:fldCharType="begin"/>
        </w:r>
        <w:r>
          <w:instrText xml:space="preserve"> PAGEREF _Toc_Tabla_26 \h </w:instrText>
        </w:r>
        <w:r>
          <w:fldChar w:fldCharType="separate"/>
        </w:r>
        <w:r>
          <w:rPr>
            <w:rFonts w:ascii="Calibri" w:hAnsi="Calibri"/>
            <w:color w:val="000000"/>
            <w:sz w:val="21"/>
          </w:rPr>
          <w:t>28</w:t>
        </w:r>
        <w:r>
          <w:fldChar w:fldCharType="end"/>
        </w:r>
      </w:hyperlink>
    </w:p>
    <w:p>
      <w:r>
        <w:fldChar w:fldCharType="end"/>
      </w:r>
    </w:p>
    <w:p>
      <w:pPr>
        <w:pStyle w:val="TtuloTDC"/>
        <w:spacing w:before="60" w:after="80" w:line="276" w:lineRule="auto"/>
        <w:jc w:val="left"/>
      </w:pPr>
      <w:r>
        <w:rPr>
          <w:rFonts w:ascii="Calibri" w:hAnsi="Calibri"/>
          <w:b/>
          <w:color w:val="000000"/>
          <w:sz w:val="24"/>
        </w:rPr>
        <w:t xml:space="preserve">CASO DE ESTUDIO: SISTEMA BANQUITO – MÓDULO DE CRÉDITO Y COMERCIALIZADORA DE TELÉFONOS CELULARES (GRUPO 08)</w:t>
      </w:r>
    </w:p>
    <w:p>
      <w:pPr>
        <w:spacing w:before="60" w:after="80" w:line="276" w:lineRule="auto"/>
        <w:jc w:val="both"/>
      </w:pPr>
      <w:r>
        <w:rPr>
          <w:rFonts w:ascii="Calibri" w:hAnsi="Calibri"/>
          <w:b w:val="0"/>
          <w:color w:val="000000"/>
          <w:sz w:val="22"/>
        </w:rPr>
        <w:t xml:space="preserve">El Banco BanQuito ha formado una alianza estratégica con una compañía comercializadora de teléfonos celulares para ofrecer una línea de crédito directo a los clientes del banco que deseen adquirir un teléfono de acuerdo con su capacidad de pago. El presente proyecto, correspondiente al Grupo 08 (NRC 36883, periodo PAO 202651), comprende el desarrollo de dos aplicaciones web independientes integradas mediante una Arquitectura Orientada a Servicios (SOA) con servicios web SOAP implementados en Java (JAX-WS) y persistencia en bases de datos MySQL.</w:t>
      </w:r>
    </w:p>
    <w:p>
      <w:pPr>
        <w:spacing w:before="60" w:after="80" w:line="276" w:lineRule="auto"/>
        <w:jc w:val="both"/>
      </w:pPr>
      <w:r>
        <w:rPr>
          <w:rFonts w:ascii="Calibri" w:hAnsi="Calibri"/>
          <w:b w:val="0"/>
          <w:color w:val="000000"/>
          <w:sz w:val="22"/>
        </w:rPr>
        <w:t xml:space="preserve">La solución responde a las siguientes especificaciones funcionales y arquitectónicas:</w:t>
      </w:r>
    </w:p>
    <w:p>
      <w:pPr>
        <w:pStyle w:val="Prrafodelista"/>
        <w:numPr>
          <w:ilvl w:val="0"/>
          <w:numId w:val="34"/>
        </w:numPr>
        <w:spacing w:before="60" w:after="80" w:line="276" w:lineRule="auto"/>
        <w:jc w:val="both"/>
      </w:pPr>
      <w:r>
        <w:rPr>
          <w:rFonts w:ascii="Calibri" w:hAnsi="Calibri"/>
          <w:b/>
          <w:color w:val="000000"/>
          <w:sz w:val="22"/>
        </w:rPr>
        <w:t xml:space="preserve">Core Bancario BanQuito con Módulo de Crédito:</w:t>
      </w:r>
      <w:r>
        <w:rPr>
          <w:rFonts w:ascii="Calibri" w:hAnsi="Calibri"/>
          <w:b w:val="0"/>
          <w:color w:val="000000"/>
          <w:sz w:val="22"/>
        </w:rPr>
        <w:t xml:space="preserve"> aplicación que únicamente expone servicios web SOAP. Verifica si una persona es sujeto de crédito, calcula el monto máximo de crédito, otorga el crédito y registra su tabla de amortización en el mismo esquema de base de datos del Core.</w:t>
      </w:r>
    </w:p>
    <w:p>
      <w:pPr>
        <w:pStyle w:val="Prrafodelista"/>
        <w:numPr>
          <w:ilvl w:val="0"/>
          <w:numId w:val="34"/>
        </w:numPr>
        <w:spacing w:before="60" w:after="80" w:line="276" w:lineRule="auto"/>
        <w:jc w:val="both"/>
      </w:pPr>
      <w:r>
        <w:rPr>
          <w:rFonts w:ascii="Calibri" w:hAnsi="Calibri"/>
          <w:b/>
          <w:color w:val="000000"/>
          <w:sz w:val="22"/>
        </w:rPr>
        <w:t xml:space="preserve">Comercializadora de Teléfonos Celulares:</w:t>
      </w:r>
      <w:r>
        <w:rPr>
          <w:rFonts w:ascii="Calibri" w:hAnsi="Calibri"/>
          <w:b w:val="0"/>
          <w:color w:val="000000"/>
          <w:sz w:val="22"/>
        </w:rPr>
        <w:t xml:space="preserve"> aplicación que administra el catálogo de teléfonos disponibles para la venta (sin inventario) y factura las ventas, invocando los servicios del banco cuando la forma de pago es crédito directo.</w:t>
      </w:r>
    </w:p>
    <w:p>
      <w:pPr>
        <w:pStyle w:val="Prrafodelista"/>
        <w:numPr>
          <w:ilvl w:val="0"/>
          <w:numId w:val="34"/>
        </w:numPr>
        <w:spacing w:before="60" w:after="80" w:line="276" w:lineRule="auto"/>
        <w:jc w:val="both"/>
      </w:pPr>
      <w:r>
        <w:rPr>
          <w:rFonts w:ascii="Calibri" w:hAnsi="Calibri"/>
          <w:b/>
          <w:color w:val="000000"/>
          <w:sz w:val="22"/>
        </w:rPr>
        <w:t xml:space="preserve">Formas de pago:</w:t>
      </w:r>
      <w:r>
        <w:rPr>
          <w:rFonts w:ascii="Calibri" w:hAnsi="Calibri"/>
          <w:b w:val="0"/>
          <w:color w:val="000000"/>
          <w:sz w:val="22"/>
        </w:rPr>
        <w:t xml:space="preserve"> Efectivo, con un descuento del 42 % sobre el precio de venta, y Crédito Directo, que solo se factura si el comprador es sujeto de crédito y el precio del teléfono es menor o igual al monto máximo aprobado.</w:t>
      </w:r>
    </w:p>
    <w:p>
      <w:pPr>
        <w:pStyle w:val="Prrafodelista"/>
        <w:numPr>
          <w:ilvl w:val="0"/>
          <w:numId w:val="34"/>
        </w:numPr>
        <w:spacing w:before="60" w:after="80" w:line="276" w:lineRule="auto"/>
        <w:jc w:val="both"/>
      </w:pPr>
      <w:r>
        <w:rPr>
          <w:rFonts w:ascii="Calibri" w:hAnsi="Calibri"/>
          <w:b/>
          <w:color w:val="000000"/>
          <w:sz w:val="22"/>
        </w:rPr>
        <w:t xml:space="preserve">Reglas de sujeto de crédito:</w:t>
      </w:r>
      <w:r>
        <w:rPr>
          <w:rFonts w:ascii="Calibri" w:hAnsi="Calibri"/>
          <w:b w:val="0"/>
          <w:color w:val="000000"/>
          <w:sz w:val="22"/>
        </w:rPr>
        <w:t xml:space="preserve"> el solicitante debe ser cliente del banco, registrar al menos un depósito en el último mes, no ser menor de 25 años si su género es masculino y no tener un crédito activo.</w:t>
      </w:r>
    </w:p>
    <w:p>
      <w:pPr>
        <w:pStyle w:val="Prrafodelista"/>
        <w:numPr>
          <w:ilvl w:val="0"/>
          <w:numId w:val="34"/>
        </w:numPr>
        <w:spacing w:before="60" w:after="80" w:line="276" w:lineRule="auto"/>
        <w:jc w:val="both"/>
      </w:pPr>
      <w:r>
        <w:rPr>
          <w:rFonts w:ascii="Calibri" w:hAnsi="Calibri"/>
          <w:b/>
          <w:color w:val="000000"/>
          <w:sz w:val="22"/>
        </w:rPr>
        <w:t xml:space="preserve">Monto máximo de crédito:</w:t>
      </w:r>
      <w:r>
        <w:rPr>
          <w:rFonts w:ascii="Calibri" w:hAnsi="Calibri"/>
          <w:b w:val="0"/>
          <w:color w:val="000000"/>
          <w:sz w:val="22"/>
        </w:rPr>
        <w:t xml:space="preserve"> ((Promedio de depósitos − Promedio de retiros de los últimos 3 meses) × 30 %) × 6.</w:t>
      </w:r>
    </w:p>
    <w:p>
      <w:pPr>
        <w:pStyle w:val="Prrafodelista"/>
        <w:numPr>
          <w:ilvl w:val="0"/>
          <w:numId w:val="34"/>
        </w:numPr>
        <w:spacing w:before="60" w:after="80" w:line="276" w:lineRule="auto"/>
        <w:jc w:val="both"/>
      </w:pPr>
      <w:r>
        <w:rPr>
          <w:rFonts w:ascii="Calibri" w:hAnsi="Calibri"/>
          <w:b/>
          <w:color w:val="000000"/>
          <w:sz w:val="22"/>
        </w:rPr>
        <w:t xml:space="preserve">Tabla de amortización:</w:t>
      </w:r>
      <w:r>
        <w:rPr>
          <w:rFonts w:ascii="Calibri" w:hAnsi="Calibri"/>
          <w:b w:val="0"/>
          <w:color w:val="000000"/>
          <w:sz w:val="22"/>
        </w:rPr>
        <w:t xml:space="preserve"> crédito de cuota fija con pagos mensuales, plazo entre 3 y 18 meses y tasa de interés del 16,5 % anual.</w:t>
      </w:r>
    </w:p>
    <w:p>
      <w:pPr>
        <w:pStyle w:val="Prrafodelista"/>
        <w:numPr>
          <w:ilvl w:val="0"/>
          <w:numId w:val="34"/>
        </w:numPr>
        <w:spacing w:before="60" w:after="80" w:line="276" w:lineRule="auto"/>
        <w:jc w:val="both"/>
      </w:pPr>
      <w:r>
        <w:rPr>
          <w:rFonts w:ascii="Calibri" w:hAnsi="Calibri"/>
          <w:b/>
          <w:color w:val="000000"/>
          <w:sz w:val="22"/>
        </w:rPr>
        <w:t xml:space="preserve">Arquitectura multicanal:</w:t>
      </w:r>
      <w:r>
        <w:rPr>
          <w:rFonts w:ascii="Calibri" w:hAnsi="Calibri"/>
          <w:b w:val="0"/>
          <w:color w:val="000000"/>
          <w:sz w:val="22"/>
        </w:rPr>
        <w:t xml:space="preserve"> la funcionalidad de facturación y la consulta de la tabla de amortización se ofrecen en cuatro clientes: Consola (Java CLI), Escritorio (Java Swing), Web (JSP y Servlets) y Móvil (Android nativo).</w:t>
      </w:r>
    </w:p>
    <w:p>
      <w:pPr>
        <w:pStyle w:val="Prrafodelista"/>
        <w:numPr>
          <w:ilvl w:val="0"/>
          <w:numId w:val="34"/>
        </w:numPr>
        <w:spacing w:before="60" w:after="80" w:line="276" w:lineRule="auto"/>
        <w:jc w:val="both"/>
      </w:pPr>
      <w:r>
        <w:rPr>
          <w:rFonts w:ascii="Calibri" w:hAnsi="Calibri"/>
          <w:b/>
          <w:color w:val="000000"/>
          <w:sz w:val="22"/>
        </w:rPr>
        <w:t xml:space="preserve">Entorno de construcción:</w:t>
      </w:r>
      <w:r>
        <w:rPr>
          <w:rFonts w:ascii="Calibri" w:hAnsi="Calibri"/>
          <w:b w:val="0"/>
          <w:color w:val="000000"/>
          <w:sz w:val="22"/>
        </w:rPr>
        <w:t xml:space="preserve"> Java JDK 21, Jakarta EE 10, Apache NetBeans IDE con Maven, Payara Server 7, MySQL 8 y Android Studio para el cliente móvil.</w:t>
      </w:r>
    </w:p>
    <w:p>
      <w:r>
        <w:br w:type="page"/>
      </w:r>
    </w:p>
    <w:p>
      <w:pPr>
        <w:pStyle w:val="Ttulo1"/>
        <w:numPr>
          <w:ilvl w:val="0"/>
          <w:numId w:val="20"/>
        </w:numPr>
        <w:spacing w:before="60" w:after="80" w:line="276" w:lineRule="auto"/>
        <w:jc w:val="left"/>
      </w:pPr>
      <w:r>
        <w:rPr>
          <w:rFonts w:ascii="Calibri" w:hAnsi="Calibri"/>
          <w:b/>
          <w:color w:val="000000"/>
          <w:sz w:val="24"/>
        </w:rPr>
        <w:t xml:space="preserve">INTRODUCCIÓN</w:t>
      </w:r>
    </w:p>
    <w:p>
      <w:pPr>
        <w:spacing w:before="60" w:after="80" w:line="276" w:lineRule="auto"/>
        <w:jc w:val="both"/>
      </w:pPr>
      <w:r>
        <w:rPr>
          <w:rFonts w:ascii="Calibri" w:hAnsi="Calibri"/>
          <w:b w:val="0"/>
          <w:color w:val="000000"/>
          <w:sz w:val="22"/>
        </w:rPr>
        <w:t xml:space="preserve">El presente documento de Especificación de Requerimientos de Software (ERS) ha sido elaborado conforme al estándar IEEE 830 por los estudiantes Daniela Lissette Tituaña Moreno y Gustavo Stiven Molina Guaico para el Grupo 08 (NRC 36883 – PAO 202651). Define formalmente los requisitos funcionales, no funcionales y de interfaz del Sistema BanQuito, compuesto por el Core Bancario con su Módulo de Crédito y por el sistema de facturación de la Comercializadora de Teléfonos Celulares, ambos integrados mediante servicios web SOAP en Java y desplegados en Payara Server 7.</w:t>
      </w:r>
    </w:p>
    <w:p>
      <w:pPr>
        <w:pStyle w:val="Ttulo2"/>
        <w:numPr>
          <w:ilvl w:val="1"/>
          <w:numId w:val="20"/>
        </w:numPr>
        <w:spacing w:before="60" w:after="80" w:line="276" w:lineRule="auto"/>
        <w:jc w:val="left"/>
      </w:pPr>
      <w:r>
        <w:rPr>
          <w:rFonts w:ascii="Calibri" w:hAnsi="Calibri"/>
          <w:b/>
          <w:color w:val="000000"/>
          <w:sz w:val="22"/>
        </w:rPr>
        <w:t xml:space="preserve">Propósito</w:t>
      </w:r>
    </w:p>
    <w:p>
      <w:pPr>
        <w:spacing w:before="60" w:after="80" w:line="276" w:lineRule="auto"/>
        <w:jc w:val="both"/>
      </w:pPr>
      <w:r>
        <w:rPr>
          <w:rFonts w:ascii="Calibri" w:hAnsi="Calibri"/>
          <w:b w:val="0"/>
          <w:color w:val="000000"/>
          <w:sz w:val="22"/>
        </w:rPr>
        <w:t xml:space="preserve">El propósito de este documento es especificar con precisión las capacidades funcionales, las reglas de negocio financieras, las restricciones de diseño y los atributos de calidad de la solución, de modo que sirva como referencia para la fase de diseño, para la construcción de las dos aplicaciones y de sus cuatro clientes, y para la evaluación del examen complexivo práctico ante el tribunal.</w:t>
      </w:r>
    </w:p>
    <w:p>
      <w:pPr>
        <w:pStyle w:val="Ttulo2"/>
        <w:numPr>
          <w:ilvl w:val="1"/>
          <w:numId w:val="20"/>
        </w:numPr>
        <w:spacing w:before="60" w:after="80" w:line="276" w:lineRule="auto"/>
        <w:jc w:val="left"/>
      </w:pPr>
      <w:r>
        <w:rPr>
          <w:rFonts w:ascii="Calibri" w:hAnsi="Calibri"/>
          <w:b/>
          <w:color w:val="000000"/>
          <w:sz w:val="22"/>
        </w:rPr>
        <w:t xml:space="preserve">Alcance</w:t>
      </w:r>
    </w:p>
    <w:p>
      <w:pPr>
        <w:spacing w:before="60" w:after="80" w:line="276" w:lineRule="auto"/>
        <w:jc w:val="both"/>
      </w:pPr>
      <w:r>
        <w:rPr>
          <w:rFonts w:ascii="Calibri" w:hAnsi="Calibri"/>
          <w:b w:val="0"/>
          <w:color w:val="000000"/>
          <w:sz w:val="22"/>
        </w:rPr>
        <w:t xml:space="preserve">El alcance comprende la construcción y el despliegue de dos componentes servidor, WS_BanQuito_SOAP y WS_Comercializadora_SOAP, con sus respectivas bases de datos MySQL, y de cuatro aplicaciones cliente de la comercializadora: Celulares_CliCon_GR8, Celulares_CliEsc_GR8, Celulares_CliWeb_GR8 y Celulares_CliMov_GR8. La implementación del sistema comprende los siguientes módulos:</w:t>
      </w:r>
    </w:p>
    <w:p>
      <w:pPr>
        <w:pStyle w:val="Prrafodelista"/>
        <w:numPr>
          <w:ilvl w:val="0"/>
          <w:numId w:val="34"/>
        </w:numPr>
        <w:spacing w:before="60" w:after="80" w:line="276" w:lineRule="auto"/>
        <w:jc w:val="both"/>
      </w:pPr>
      <w:r>
        <w:rPr>
          <w:rFonts w:ascii="Calibri" w:hAnsi="Calibri"/>
          <w:b/>
          <w:color w:val="000000"/>
          <w:sz w:val="22"/>
        </w:rPr>
        <w:t xml:space="preserve">Módulo de Crédito (Core BanQuito):</w:t>
      </w:r>
      <w:r>
        <w:rPr>
          <w:rFonts w:ascii="Calibri" w:hAnsi="Calibri"/>
          <w:b w:val="0"/>
          <w:color w:val="000000"/>
          <w:sz w:val="22"/>
        </w:rPr>
        <w:t xml:space="preserve"> verificación de sujeto de crédito por cédula, cálculo del monto máximo por código de cliente, otorgamiento del crédito con generación y registro de la tabla de amortización, y consulta de la tabla de amortización de un crédito otorgado.</w:t>
      </w:r>
    </w:p>
    <w:p>
      <w:pPr>
        <w:pStyle w:val="Prrafodelista"/>
        <w:numPr>
          <w:ilvl w:val="0"/>
          <w:numId w:val="34"/>
        </w:numPr>
        <w:spacing w:before="60" w:after="80" w:line="276" w:lineRule="auto"/>
        <w:jc w:val="both"/>
      </w:pPr>
      <w:r>
        <w:t>Módulo de Catálogo (Comercializadora): mantenimiento integral mediante operaciones CRUD (Create, Read, Update, Delete) de los teléfonos celulares disponibles para la venta (registro, listado y consulta, modificación y eliminación física o borrado lógico).</w:t>
      </w:r>
    </w:p>
    <w:p>
      <w:pPr>
        <w:pStyle w:val="Prrafodelista"/>
        <w:numPr>
          <w:ilvl w:val="0"/>
          <w:numId w:val="34"/>
        </w:numPr>
        <w:spacing w:before="60" w:after="80" w:line="276" w:lineRule="auto"/>
        <w:jc w:val="both"/>
      </w:pPr>
      <w:r>
        <w:rPr>
          <w:rFonts w:ascii="Calibri" w:hAnsi="Calibri"/>
          <w:b/>
          <w:color w:val="000000"/>
          <w:sz w:val="22"/>
        </w:rPr>
        <w:t xml:space="preserve">Módulo de Facturación (Comercializadora):</w:t>
      </w:r>
      <w:r>
        <w:rPr>
          <w:rFonts w:ascii="Calibri" w:hAnsi="Calibri"/>
          <w:b w:val="0"/>
          <w:color w:val="000000"/>
          <w:sz w:val="22"/>
        </w:rPr>
        <w:t xml:space="preserve"> venta con pago en efectivo y venta con crédito directo, además de la consulta de la tabla de amortización del préstamo asociado a una factura.</w:t>
      </w:r>
    </w:p>
    <w:p>
      <w:pPr>
        <w:spacing w:before="60" w:after="80" w:line="276" w:lineRule="auto"/>
        <w:jc w:val="both"/>
      </w:pPr>
      <w:r>
        <w:rPr>
          <w:rFonts w:ascii="Calibri" w:hAnsi="Calibri"/>
          <w:b w:val="0"/>
          <w:color w:val="000000"/>
          <w:sz w:val="22"/>
        </w:rPr>
        <w:t xml:space="preserve">No forma parte del alcance la programación completa del Core Bancario (apertura de cuentas, depósitos, retiros u otras transacciones); el modelo existente de clientes, cuentas y movimientos se utiliza como fuente de datos para las reglas del Módulo de Crédito.</w:t>
      </w:r>
    </w:p>
    <w:p>
      <w:r>
        <w:br w:type="page"/>
      </w:r>
    </w:p>
    <w:p>
      <w:pPr>
        <w:pStyle w:val="Ttulo1"/>
        <w:numPr>
          <w:ilvl w:val="0"/>
          <w:numId w:val="20"/>
        </w:numPr>
        <w:spacing w:before="60" w:after="80" w:line="276" w:lineRule="auto"/>
        <w:jc w:val="left"/>
      </w:pPr>
      <w:r>
        <w:rPr>
          <w:rFonts w:ascii="Calibri" w:hAnsi="Calibri"/>
          <w:b/>
          <w:color w:val="000000"/>
          <w:sz w:val="24"/>
        </w:rPr>
        <w:t xml:space="preserve">DEFINICIONES, ACRÓNIMOS Y ABREVIATURAS</w:t>
      </w:r>
    </w:p>
    <w:p>
      <w:pPr>
        <w:pStyle w:val="Ttulo2"/>
        <w:numPr>
          <w:ilvl w:val="1"/>
          <w:numId w:val="20"/>
        </w:numPr>
        <w:spacing w:before="60" w:after="80" w:line="276" w:lineRule="auto"/>
        <w:jc w:val="left"/>
      </w:pPr>
      <w:r>
        <w:rPr>
          <w:rFonts w:ascii="Calibri" w:hAnsi="Calibri"/>
          <w:b/>
          <w:color w:val="000000"/>
          <w:sz w:val="22"/>
        </w:rPr>
        <w:t xml:space="preserve">Definiciones</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1</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Definiciones</w:t>
      </w:r>
    </w:p>
    <w:tbl>
      <w:tblPr>
        <w:tblStyle w:val="Tablaconcuadrcula4-nfasis1"/>
        <w:tblW w:w="9420" w:type="dxa"/>
        <w:jc w:val="center"/>
        <w:tblLayout w:type="fixed"/>
        <w:tblLook w:val="04A0" w:firstRow="1" w:lastRow="0" w:firstColumn="1" w:lastColumn="0" w:noHBand="0" w:noVBand="1"/>
      </w:tblPr>
      <w:tblGrid>
        <w:gridCol w:w="2449"/>
        <w:gridCol w:w="6971"/>
      </w:tblGrid>
      <w:tr>
        <w:trPr>
          <w:cantSplit/>
          <w:tblHeader/>
        </w:trPr>
        <w:tc>
          <w:tcPr>
            <w:tcW w:w="244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TÉRMINO</w:t>
            </w:r>
          </w:p>
        </w:tc>
        <w:tc>
          <w:tcPr>
            <w:tcW w:w="6971"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DEFINICIÓN</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Arquitectura Orientada a Servicios (SOA)</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Estilo arquitectónico en el que los componentes de software ofrecen su funcionalidad mediante servicios reutilizables con interfaces independientes de la tecnología.</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Servicio Web</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Sistema de software que permite la interacción máquina a máquina a través de una red, mediante un contrato publicado.</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Core Bancario</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Sistema central del banco que administra clientes, cuentas y movimientos; en este proyecto incorpora el Módulo de Crédito.</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Sujeto de crédito</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Cliente del banco que cumple todas las reglas definidas para acceder a un crédito.</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Monto máximo de crédito</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Valor máximo que el banco puede prestar a un cliente, calculado a partir de sus depósitos y retiros de los últimos tres meses.</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Crédito directo</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Forma de pago en la que el banco financia la compra del teléfono y el cliente cancela el valor en cuotas mensuales.</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Cuota fija</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Valor constante que el cliente paga cada mes y que incluye interés y capital.</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Tasa del período</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Tasa de interés aplicada a cada cuota; al ser mensual equivale a la tasa anual dividida para doce (16,5 % / 12).</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Tabla de amortización</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Detalle de todas las cuotas de un crédito con el valor de la cuota, el interés pagado, el capital pagado y el saldo pendiente.</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Movimiento</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Transacción registrada en una cuenta; para el Módulo de Crédito interesan los depósitos (DEP) y los retiros (RET).</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Factura</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Documento que registra la venta de un teléfono celular, su forma de pago y los valores cobrados.</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Catálogo de celulares</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Entidad de la comercializadora con los teléfonos disponibles para la venta; no lleva control de inventario.</w:t>
            </w:r>
          </w:p>
        </w:tc>
      </w:tr>
    </w:tbl>
    <w:p>
      <w:pPr>
        <w:spacing w:before="0" w:after="0"/>
      </w:pPr>
    </w:p>
    <w:p>
      <w:pPr>
        <w:pStyle w:val="Ttulo2"/>
        <w:numPr>
          <w:ilvl w:val="1"/>
          <w:numId w:val="20"/>
        </w:numPr>
        <w:spacing w:before="60" w:after="80" w:line="276" w:lineRule="auto"/>
        <w:jc w:val="left"/>
      </w:pPr>
      <w:r>
        <w:rPr>
          <w:rFonts w:ascii="Calibri" w:hAnsi="Calibri"/>
          <w:b/>
          <w:color w:val="000000"/>
          <w:sz w:val="22"/>
        </w:rPr>
        <w:t xml:space="preserve">Acrónimos y abreviaturas</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2</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Acrónimos y abreviaturas</w:t>
      </w:r>
    </w:p>
    <w:tbl>
      <w:tblPr>
        <w:tblStyle w:val="Tablaconcuadrcula4-nfasis1"/>
        <w:tblW w:w="9420" w:type="dxa"/>
        <w:jc w:val="center"/>
        <w:tblLayout w:type="fixed"/>
        <w:tblLook w:val="04A0" w:firstRow="1" w:lastRow="0" w:firstColumn="1" w:lastColumn="0" w:noHBand="0" w:noVBand="1"/>
      </w:tblPr>
      <w:tblGrid>
        <w:gridCol w:w="2449"/>
        <w:gridCol w:w="6971"/>
      </w:tblGrid>
      <w:tr>
        <w:trPr>
          <w:cantSplit/>
          <w:tblHeader/>
        </w:trPr>
        <w:tc>
          <w:tcPr>
            <w:tcW w:w="244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Acrónimo / Abreviatura</w:t>
            </w:r>
          </w:p>
        </w:tc>
        <w:tc>
          <w:tcPr>
            <w:tcW w:w="6971"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Significado</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SOA</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Arquitectura Orientada a Servicios (Service-Oriented Architecture).</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SOAP</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Protocolo Simple de Acceso a Objetos (Simple Object Access Protocol).</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WSDL</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Lenguaje de Descripción de Servicios Web (Web Services Description Language).</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JAX-WS</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API de Jakarta para servicios web XML (Jakarta XML Web Services).</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JDBC</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API de Java para la conexión con bases de datos (Java Database Connectivity).</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XML</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Lenguaje de Marcado Extensible (eXtensible Markup Language).</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HTTP</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Protocolo de Transferencia de Hipertexto (Hypertext Transfer Protocol).</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BDD</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Base de datos.</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MER</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Modelo Entidad-Relación.</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ERS</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Especificación de Requisitos de Software.</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RF / RNF</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Requisito Funcional / Requisito No Funcional.</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CU / ECUD</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Caso de Uso / Especificación de Casos de Uso Detallado.</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DEP / RET</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Tipos de movimiento: depósito y retiro.</w:t>
            </w:r>
          </w:p>
        </w:tc>
      </w:tr>
    </w:tbl>
    <w:p>
      <w:pPr>
        <w:spacing w:before="0" w:after="0"/>
      </w:pPr>
    </w:p>
    <w:p>
      <w:pPr>
        <w:pStyle w:val="Ttulo1"/>
        <w:numPr>
          <w:ilvl w:val="0"/>
          <w:numId w:val="20"/>
        </w:numPr>
        <w:spacing w:before="60" w:after="80" w:line="276" w:lineRule="auto"/>
        <w:jc w:val="left"/>
      </w:pPr>
      <w:r>
        <w:rPr>
          <w:rFonts w:ascii="Calibri" w:hAnsi="Calibri"/>
          <w:b/>
          <w:color w:val="000000"/>
          <w:sz w:val="24"/>
        </w:rPr>
        <w:t xml:space="preserve">REFERENCIAS</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3</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Referencias normativas y estándares</w:t>
      </w:r>
    </w:p>
    <w:tbl>
      <w:tblPr>
        <w:tblStyle w:val="Tablaconcuadrcula4-nfasis1"/>
        <w:tblW w:w="9420" w:type="dxa"/>
        <w:jc w:val="center"/>
        <w:tblLayout w:type="fixed"/>
        <w:tblLook w:val="04A0" w:firstRow="1" w:lastRow="0" w:firstColumn="1" w:lastColumn="0" w:noHBand="0" w:noVBand="1"/>
      </w:tblPr>
      <w:tblGrid>
        <w:gridCol w:w="1036"/>
        <w:gridCol w:w="2449"/>
        <w:gridCol w:w="3297"/>
        <w:gridCol w:w="942"/>
        <w:gridCol w:w="1696"/>
      </w:tblGrid>
      <w:tr>
        <w:trPr>
          <w:cantSplit/>
          <w:tblHeader/>
        </w:trPr>
        <w:tc>
          <w:tcPr>
            <w:tcW w:w="1036"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Referencia</w:t>
            </w:r>
          </w:p>
        </w:tc>
        <w:tc>
          <w:tcPr>
            <w:tcW w:w="244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Título</w:t>
            </w:r>
          </w:p>
        </w:tc>
        <w:tc>
          <w:tcPr>
            <w:tcW w:w="3297"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Ruta</w:t>
            </w:r>
          </w:p>
        </w:tc>
        <w:tc>
          <w:tcPr>
            <w:tcW w:w="942"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Fecha</w:t>
            </w:r>
          </w:p>
        </w:tc>
        <w:tc>
          <w:tcPr>
            <w:tcW w:w="1696"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Autor</w:t>
            </w:r>
          </w:p>
        </w:tc>
      </w:tr>
      <w:tr>
        <w:trPr>
          <w:cantSplit/>
        </w:trPr>
        <w:tc>
          <w:tcPr>
            <w:tcW w:w="103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1.</w:t>
            </w:r>
          </w:p>
        </w:tc>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Standard IEEE 830</w:t>
            </w:r>
          </w:p>
        </w:tc>
        <w:tc>
          <w:tcPr>
            <w:tcW w:w="3297"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Plantilla de formato del documento © Coloriuris http://www.qualitatis.org</w:t>
            </w:r>
          </w:p>
        </w:tc>
        <w:tc>
          <w:tcPr>
            <w:tcW w:w="94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1998</w:t>
            </w:r>
          </w:p>
        </w:tc>
        <w:tc>
          <w:tcPr>
            <w:tcW w:w="169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IEEE</w:t>
            </w:r>
          </w:p>
        </w:tc>
      </w:tr>
      <w:tr>
        <w:trPr>
          <w:cantSplit/>
        </w:trPr>
        <w:tc>
          <w:tcPr>
            <w:tcW w:w="103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2.</w:t>
            </w:r>
          </w:p>
        </w:tc>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Examen Práctico Celulares – Sistema BanQuito Módulo de Crédito</w:t>
            </w:r>
          </w:p>
        </w:tc>
        <w:tc>
          <w:tcPr>
            <w:tcW w:w="3297"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Enunciado entregado por el docente de la asignatura</w:t>
            </w:r>
          </w:p>
        </w:tc>
        <w:tc>
          <w:tcPr>
            <w:tcW w:w="94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2026</w:t>
            </w:r>
          </w:p>
        </w:tc>
        <w:tc>
          <w:tcPr>
            <w:tcW w:w="169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ESPE – DCC</w:t>
            </w:r>
          </w:p>
        </w:tc>
      </w:tr>
      <w:tr>
        <w:trPr>
          <w:cantSplit/>
        </w:trPr>
        <w:tc>
          <w:tcPr>
            <w:tcW w:w="103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3.</w:t>
            </w:r>
          </w:p>
        </w:tc>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Jakarta XML Web Services 4.0</w:t>
            </w:r>
          </w:p>
        </w:tc>
        <w:tc>
          <w:tcPr>
            <w:tcW w:w="3297"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https://jakarta.ee/specifications/xml-web-services/</w:t>
            </w:r>
          </w:p>
        </w:tc>
        <w:tc>
          <w:tcPr>
            <w:tcW w:w="94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2022</w:t>
            </w:r>
          </w:p>
        </w:tc>
        <w:tc>
          <w:tcPr>
            <w:tcW w:w="169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Eclipse Foundation</w:t>
            </w:r>
          </w:p>
        </w:tc>
      </w:tr>
      <w:tr>
        <w:trPr>
          <w:cantSplit/>
        </w:trPr>
        <w:tc>
          <w:tcPr>
            <w:tcW w:w="103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4.</w:t>
            </w:r>
          </w:p>
        </w:tc>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MySQL 8.4 Reference Manual</w:t>
            </w:r>
          </w:p>
        </w:tc>
        <w:tc>
          <w:tcPr>
            <w:tcW w:w="3297"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https://dev.mysql.com/doc/</w:t>
            </w:r>
          </w:p>
        </w:tc>
        <w:tc>
          <w:tcPr>
            <w:tcW w:w="94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2024</w:t>
            </w:r>
          </w:p>
        </w:tc>
        <w:tc>
          <w:tcPr>
            <w:tcW w:w="169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Oracle</w:t>
            </w:r>
          </w:p>
        </w:tc>
      </w:tr>
    </w:tbl>
    <w:p>
      <w:pPr>
        <w:spacing w:before="0" w:after="0"/>
      </w:pPr>
    </w:p>
    <w:p>
      <w:pPr>
        <w:pStyle w:val="Ttulo1"/>
        <w:numPr>
          <w:ilvl w:val="0"/>
          <w:numId w:val="20"/>
        </w:numPr>
        <w:spacing w:before="60" w:after="80" w:line="276" w:lineRule="auto"/>
        <w:jc w:val="left"/>
      </w:pPr>
      <w:r>
        <w:rPr>
          <w:rFonts w:ascii="Calibri" w:hAnsi="Calibri"/>
          <w:b/>
          <w:color w:val="000000"/>
          <w:sz w:val="24"/>
        </w:rPr>
        <w:t xml:space="preserve">VISIÓN GENERAL DEL DOCUMENTO</w:t>
      </w:r>
    </w:p>
    <w:p>
      <w:pPr>
        <w:spacing w:before="60" w:after="80" w:line="276" w:lineRule="auto"/>
        <w:jc w:val="both"/>
      </w:pPr>
      <w:r>
        <w:rPr>
          <w:rFonts w:ascii="Calibri" w:hAnsi="Calibri"/>
          <w:b w:val="0"/>
          <w:color w:val="000000"/>
          <w:sz w:val="22"/>
        </w:rPr>
        <w:t xml:space="preserve">Este documento consta de tres módulos. El primero contiene la introducción y proporciona una visión general de la ERS. El segundo describe el sistema en general, sus funciones principales, las reglas de negocio, los datos asociados y los factores, restricciones, supuestos y dependencias que afectan al desarrollo. El tercero define detalladamente los requisitos funcionales, no funcionales y de interfaz que cubrirá el sistema, junto con el modelo de datos y la matriz de trazabilidad.</w:t>
      </w:r>
    </w:p>
    <w:p>
      <w:r>
        <w:br w:type="page"/>
      </w:r>
    </w:p>
    <w:p>
      <w:pPr>
        <w:pStyle w:val="Ttulo1"/>
        <w:numPr>
          <w:ilvl w:val="0"/>
          <w:numId w:val="20"/>
        </w:numPr>
        <w:spacing w:before="60" w:after="80" w:line="276" w:lineRule="auto"/>
        <w:jc w:val="left"/>
      </w:pPr>
      <w:r>
        <w:rPr>
          <w:rFonts w:ascii="Calibri" w:hAnsi="Calibri"/>
          <w:b/>
          <w:color w:val="000000"/>
          <w:sz w:val="24"/>
        </w:rPr>
        <w:t xml:space="preserve">DESCRIPCIÓN GENERAL DEL SISTEMA</w:t>
      </w:r>
    </w:p>
    <w:p>
      <w:pPr>
        <w:spacing w:before="60" w:after="80" w:line="276" w:lineRule="auto"/>
        <w:jc w:val="both"/>
      </w:pPr>
      <w:r>
        <w:rPr>
          <w:rFonts w:ascii="Calibri" w:hAnsi="Calibri"/>
          <w:b w:val="0"/>
          <w:color w:val="000000"/>
          <w:sz w:val="22"/>
        </w:rPr>
        <w:t xml:space="preserve">El Sistema BanQuito es una solución distribuida formada por dos aplicaciones web desplegadas en Payara Server 7. El Core Bancario expone, mediante un contrato WSDL, los servicios del Módulo de Crédito sobre su base de datos MySQL. La Comercializadora administra su propio catálogo y su facturación en una base de datos independiente, consume los servicios del Core y, a su vez, expone servicios SOAP para sus cuatro clientes.</w:t>
      </w:r>
    </w:p>
    <w:p>
      <w:pPr>
        <w:pStyle w:val="Ttulo2"/>
        <w:numPr>
          <w:ilvl w:val="1"/>
          <w:numId w:val="20"/>
        </w:numPr>
        <w:spacing w:before="60" w:after="80" w:line="276" w:lineRule="auto"/>
        <w:jc w:val="left"/>
      </w:pPr>
      <w:r>
        <w:rPr>
          <w:rFonts w:ascii="Calibri" w:hAnsi="Calibri"/>
          <w:b/>
          <w:color w:val="000000"/>
          <w:sz w:val="22"/>
        </w:rPr>
        <w:t xml:space="preserve">Perspectiva del Producto</w:t>
      </w:r>
    </w:p>
    <w:p>
      <w:pPr>
        <w:spacing w:before="60" w:after="80" w:line="276" w:lineRule="auto"/>
        <w:jc w:val="both"/>
      </w:pPr>
      <w:r>
        <w:rPr>
          <w:rFonts w:ascii="Calibri" w:hAnsi="Calibri"/>
          <w:b w:val="0"/>
          <w:color w:val="000000"/>
          <w:sz w:val="22"/>
        </w:rPr>
        <w:t xml:space="preserve">El producto se organiza en tres niveles: los cuatro clientes de la comercializadora actúan como capas de presentación sin lógica de negocio; el servicio de la comercializadora concentra el catálogo y la facturación; y el Core BanQuito concentra las reglas financieras. La comercializadora nunca accede directamente a la base de datos del banco: toda consulta o registro de crédito se realiza a través de los servicios web del Core.</w:t>
      </w:r>
    </w:p>
    <w:p>
      <w:pPr>
        <w:pStyle w:val="Ttulo2"/>
        <w:numPr>
          <w:ilvl w:val="1"/>
          <w:numId w:val="20"/>
        </w:numPr>
        <w:spacing w:before="60" w:after="80" w:line="276" w:lineRule="auto"/>
        <w:jc w:val="left"/>
      </w:pPr>
      <w:r>
        <w:rPr>
          <w:rFonts w:ascii="Calibri" w:hAnsi="Calibri"/>
          <w:b/>
          <w:color w:val="000000"/>
          <w:sz w:val="22"/>
        </w:rPr>
        <w:t xml:space="preserve">Funciones Principales del Software</w:t>
      </w:r>
    </w:p>
    <w:p>
      <w:pPr>
        <w:spacing w:before="60" w:after="80" w:line="276" w:lineRule="auto"/>
        <w:jc w:val="both"/>
      </w:pPr>
      <w:r>
        <w:rPr>
          <w:rFonts w:ascii="Calibri" w:hAnsi="Calibri"/>
          <w:b w:val="0"/>
          <w:color w:val="000000"/>
          <w:sz w:val="22"/>
        </w:rPr>
        <w:t xml:space="preserve">El sistema cuenta con dos divisiones funcionales: el Módulo de Crédito del banco y el sistema de la comercializadora. Sus funciones principales son:</w:t>
      </w:r>
    </w:p>
    <w:p>
      <w:pPr>
        <w:pStyle w:val="Prrafodelista"/>
        <w:numPr>
          <w:ilvl w:val="0"/>
          <w:numId w:val="34"/>
        </w:numPr>
        <w:spacing w:before="60" w:after="80" w:line="276" w:lineRule="auto"/>
        <w:jc w:val="both"/>
      </w:pPr>
      <w:r>
        <w:rPr>
          <w:rFonts w:ascii="Calibri" w:hAnsi="Calibri"/>
          <w:b w:val="0"/>
          <w:color w:val="000000"/>
          <w:sz w:val="22"/>
        </w:rPr>
        <w:t xml:space="preserve">Verificar si una persona es sujeto de crédito a partir de su número de cédula.</w:t>
      </w:r>
    </w:p>
    <w:p>
      <w:pPr>
        <w:pStyle w:val="Prrafodelista"/>
        <w:numPr>
          <w:ilvl w:val="0"/>
          <w:numId w:val="34"/>
        </w:numPr>
        <w:spacing w:before="60" w:after="80" w:line="276" w:lineRule="auto"/>
        <w:jc w:val="both"/>
      </w:pPr>
      <w:r>
        <w:rPr>
          <w:rFonts w:ascii="Calibri" w:hAnsi="Calibri"/>
          <w:b w:val="0"/>
          <w:color w:val="000000"/>
          <w:sz w:val="22"/>
        </w:rPr>
        <w:t xml:space="preserve">Calcular el monto máximo de crédito de un cliente a partir de su código de cliente.</w:t>
      </w:r>
    </w:p>
    <w:p>
      <w:pPr>
        <w:pStyle w:val="Prrafodelista"/>
        <w:numPr>
          <w:ilvl w:val="0"/>
          <w:numId w:val="34"/>
        </w:numPr>
        <w:spacing w:before="60" w:after="80" w:line="276" w:lineRule="auto"/>
        <w:jc w:val="both"/>
      </w:pPr>
      <w:r>
        <w:rPr>
          <w:rFonts w:ascii="Calibri" w:hAnsi="Calibri"/>
          <w:b w:val="0"/>
          <w:color w:val="000000"/>
          <w:sz w:val="22"/>
        </w:rPr>
        <w:t xml:space="preserve">Otorgar el crédito y registrar la tabla de amortización a partir del código de cliente, el precio del teléfono y el número de cuotas.</w:t>
      </w:r>
    </w:p>
    <w:p>
      <w:pPr>
        <w:pStyle w:val="Prrafodelista"/>
        <w:numPr>
          <w:ilvl w:val="0"/>
          <w:numId w:val="34"/>
        </w:numPr>
        <w:spacing w:before="60" w:after="80" w:line="276" w:lineRule="auto"/>
        <w:jc w:val="both"/>
      </w:pPr>
      <w:r>
        <w:rPr>
          <w:rFonts w:ascii="Calibri" w:hAnsi="Calibri"/>
          <w:b w:val="0"/>
          <w:color w:val="000000"/>
          <w:sz w:val="22"/>
        </w:rPr>
        <w:t xml:space="preserve">Retornar la tabla de amortización de un crédito otorgado.</w:t>
      </w:r>
    </w:p>
    <w:p>
      <w:pPr>
        <w:pStyle w:val="Prrafodelista"/>
        <w:numPr>
          <w:ilvl w:val="0"/>
          <w:numId w:val="34"/>
        </w:numPr>
        <w:spacing w:before="60" w:after="80" w:line="276" w:lineRule="auto"/>
        <w:jc w:val="both"/>
      </w:pPr>
      <w:r>
        <w:t>Mantener el catálogo de teléfonos celulares disponibles para la venta mediante operaciones CRUD completas (crear, listar, consultar por código, modificar y eliminar/desactivar).</w:t>
      </w:r>
    </w:p>
    <w:p>
      <w:pPr>
        <w:pStyle w:val="Prrafodelista"/>
        <w:numPr>
          <w:ilvl w:val="0"/>
          <w:numId w:val="34"/>
        </w:numPr>
        <w:spacing w:before="60" w:after="80" w:line="276" w:lineRule="auto"/>
        <w:jc w:val="both"/>
      </w:pPr>
      <w:r>
        <w:rPr>
          <w:rFonts w:ascii="Calibri" w:hAnsi="Calibri"/>
          <w:b w:val="0"/>
          <w:color w:val="000000"/>
          <w:sz w:val="22"/>
        </w:rPr>
        <w:t xml:space="preserve">Facturar ventas con pago en efectivo (descuento del 42 %) y con crédito directo.</w:t>
      </w:r>
    </w:p>
    <w:p>
      <w:pPr>
        <w:pStyle w:val="Prrafodelista"/>
        <w:numPr>
          <w:ilvl w:val="0"/>
          <w:numId w:val="34"/>
        </w:numPr>
        <w:spacing w:before="60" w:after="80" w:line="276" w:lineRule="auto"/>
        <w:jc w:val="both"/>
      </w:pPr>
      <w:r>
        <w:rPr>
          <w:rFonts w:ascii="Calibri" w:hAnsi="Calibri"/>
          <w:b w:val="0"/>
          <w:color w:val="000000"/>
          <w:sz w:val="22"/>
        </w:rPr>
        <w:t xml:space="preserve">Consultar desde la comercializadora la tabla de amortización del préstamo de un cliente.</w:t>
      </w:r>
    </w:p>
    <w:p>
      <w:pPr>
        <w:spacing w:before="60" w:after="80" w:line="276" w:lineRule="auto"/>
        <w:jc w:val="center"/>
      </w:pPr>
      <w:r>
        <w:rPr>
          <w:rFonts w:ascii="Calibri" w:hAnsi="Calibri"/>
          <w:b w:val="0"/>
          <w:color w:val="7F7F7F"/>
          <w:sz w:val="22"/>
          <w:i/>
        </w:rPr>
        <w:t xml:space="preserve">[Insertar aquí el diagrama de casos de uso del Módulo de Crédito elaborado en PowerDesigner]</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Ilustración </w:t>
      </w:r>
      <w:r>
        <w:rPr>
          <w:rFonts w:ascii="Calibri" w:hAnsi="Calibri"/>
          <w:b/>
          <w:color w:val="000000"/>
          <w:sz w:val="21"/>
        </w:rPr>
        <w:fldChar w:fldCharType="begin"/>
      </w:r>
      <w:r>
        <w:rPr>
          <w:rFonts w:ascii="Calibri" w:hAnsi="Calibri"/>
          <w:b/>
          <w:color w:val="000000"/>
          <w:sz w:val="21"/>
        </w:rPr>
        <w:instrText xml:space="preserve"> SEQ Ilustración \* ARABIC </w:instrText>
      </w:r>
      <w:r>
        <w:rPr>
          <w:rFonts w:ascii="Calibri" w:hAnsi="Calibri"/>
          <w:b/>
          <w:color w:val="000000"/>
          <w:sz w:val="21"/>
        </w:rPr>
        <w:fldChar w:fldCharType="separate"/>
      </w:r>
      <w:r>
        <w:rPr>
          <w:rFonts w:ascii="Calibri" w:hAnsi="Calibri"/>
          <w:b/>
          <w:color w:val="000000"/>
          <w:sz w:val="21"/>
        </w:rPr>
        <w:t xml:space="preserve">1</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Diagrama de casos de uso del Módulo de Crédito del Banco BanQuito</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4</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Reglas de negocio del Módulo de Crédito</w:t>
      </w:r>
    </w:p>
    <w:tbl>
      <w:tblPr>
        <w:tblStyle w:val="Tablaconcuadrcula4-nfasis1"/>
        <w:tblW w:w="9420" w:type="dxa"/>
        <w:jc w:val="center"/>
        <w:tblLayout w:type="fixed"/>
        <w:tblLook w:val="04A0" w:firstRow="1" w:lastRow="0" w:firstColumn="1" w:lastColumn="0" w:noHBand="0" w:noVBand="1"/>
      </w:tblPr>
      <w:tblGrid>
        <w:gridCol w:w="1130"/>
        <w:gridCol w:w="2355"/>
        <w:gridCol w:w="5935"/>
      </w:tblGrid>
      <w:tr>
        <w:trPr>
          <w:cantSplit/>
          <w:tblHeader/>
        </w:trPr>
        <w:tc>
          <w:tcPr>
            <w:tcW w:w="1130"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Código</w:t>
            </w:r>
          </w:p>
        </w:tc>
        <w:tc>
          <w:tcPr>
            <w:tcW w:w="2355"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Regla</w:t>
            </w:r>
          </w:p>
        </w:tc>
        <w:tc>
          <w:tcPr>
            <w:tcW w:w="5935"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Condición o fórmula</w:t>
            </w:r>
          </w:p>
        </w:tc>
      </w:tr>
      <w:tr>
        <w:trPr>
          <w:cantSplit/>
        </w:trPr>
        <w:tc>
          <w:tcPr>
            <w:tcW w:w="1130"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RN-01</w:t>
            </w:r>
          </w:p>
        </w:tc>
        <w:tc>
          <w:tcPr>
            <w:tcW w:w="235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Es cliente del banco</w:t>
            </w:r>
          </w:p>
        </w:tc>
        <w:tc>
          <w:tcPr>
            <w:tcW w:w="593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Existe un registro en CLIENTE con la cédula recibida.</w:t>
            </w:r>
          </w:p>
        </w:tc>
      </w:tr>
      <w:tr>
        <w:trPr>
          <w:cantSplit/>
        </w:trPr>
        <w:tc>
          <w:tcPr>
            <w:tcW w:w="1130"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RN-02</w:t>
            </w:r>
          </w:p>
        </w:tc>
        <w:tc>
          <w:tcPr>
            <w:tcW w:w="235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Depósito reciente</w:t>
            </w:r>
          </w:p>
        </w:tc>
        <w:tc>
          <w:tcPr>
            <w:tcW w:w="593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 menos un movimiento DEP en sus cuentas durante el último mes.</w:t>
            </w:r>
          </w:p>
        </w:tc>
      </w:tr>
      <w:tr>
        <w:trPr>
          <w:cantSplit/>
        </w:trPr>
        <w:tc>
          <w:tcPr>
            <w:tcW w:w="1130"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RN-03</w:t>
            </w:r>
          </w:p>
        </w:tc>
        <w:tc>
          <w:tcPr>
            <w:tcW w:w="235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Edad mínima</w:t>
            </w:r>
          </w:p>
        </w:tc>
        <w:tc>
          <w:tcPr>
            <w:tcW w:w="593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Si GENERO = M, la edad calculada desde FECHA_NACIMIENTO debe ser mayor o igual a 25 años.</w:t>
            </w:r>
          </w:p>
        </w:tc>
      </w:tr>
      <w:tr>
        <w:trPr>
          <w:cantSplit/>
        </w:trPr>
        <w:tc>
          <w:tcPr>
            <w:tcW w:w="1130"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RN-04</w:t>
            </w:r>
          </w:p>
        </w:tc>
        <w:tc>
          <w:tcPr>
            <w:tcW w:w="235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Sin crédito activo</w:t>
            </w:r>
          </w:p>
        </w:tc>
        <w:tc>
          <w:tcPr>
            <w:tcW w:w="593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No existe un crédito del cliente en estado ACTIVO.</w:t>
            </w:r>
          </w:p>
        </w:tc>
      </w:tr>
      <w:tr>
        <w:trPr>
          <w:cantSplit/>
        </w:trPr>
        <w:tc>
          <w:tcPr>
            <w:tcW w:w="1130"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RN-05</w:t>
            </w:r>
          </w:p>
        </w:tc>
        <w:tc>
          <w:tcPr>
            <w:tcW w:w="235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Monto máximo</w:t>
            </w:r>
          </w:p>
        </w:tc>
        <w:tc>
          <w:tcPr>
            <w:tcW w:w="593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((Promedio DEP − Promedio RET de los últimos 3 meses) × 30 %) × 6; si el resultado es negativo, el monto es 0.</w:t>
            </w:r>
          </w:p>
        </w:tc>
      </w:tr>
      <w:tr>
        <w:trPr>
          <w:cantSplit/>
        </w:trPr>
        <w:tc>
          <w:tcPr>
            <w:tcW w:w="1130"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RN-06</w:t>
            </w:r>
          </w:p>
        </w:tc>
        <w:tc>
          <w:tcPr>
            <w:tcW w:w="235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Aprobación automática</w:t>
            </w:r>
          </w:p>
        </w:tc>
        <w:tc>
          <w:tcPr>
            <w:tcW w:w="593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Se aprueba si el precio del teléfono es menor o igual al monto máximo.</w:t>
            </w:r>
          </w:p>
        </w:tc>
      </w:tr>
      <w:tr>
        <w:trPr>
          <w:cantSplit/>
        </w:trPr>
        <w:tc>
          <w:tcPr>
            <w:tcW w:w="1130"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RN-07</w:t>
            </w:r>
          </w:p>
        </w:tc>
        <w:tc>
          <w:tcPr>
            <w:tcW w:w="235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Plazo</w:t>
            </w:r>
          </w:p>
        </w:tc>
        <w:tc>
          <w:tcPr>
            <w:tcW w:w="593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Número de cuotas entre 3 y 18 meses, ambos incluidos.</w:t>
            </w:r>
          </w:p>
        </w:tc>
      </w:tr>
      <w:tr>
        <w:trPr>
          <w:cantSplit/>
        </w:trPr>
        <w:tc>
          <w:tcPr>
            <w:tcW w:w="1130"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RN-08</w:t>
            </w:r>
          </w:p>
        </w:tc>
        <w:tc>
          <w:tcPr>
            <w:tcW w:w="235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Cuota fija</w:t>
            </w:r>
          </w:p>
        </w:tc>
        <w:tc>
          <w:tcPr>
            <w:tcW w:w="593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Cuota = Valor ÷ [(1 − (1 + i)^−n) ÷ i], con i = 16,5 % ÷ 12.</w:t>
            </w:r>
          </w:p>
        </w:tc>
      </w:tr>
      <w:tr>
        <w:trPr>
          <w:cantSplit/>
        </w:trPr>
        <w:tc>
          <w:tcPr>
            <w:tcW w:w="1130"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RN-09</w:t>
            </w:r>
          </w:p>
        </w:tc>
        <w:tc>
          <w:tcPr>
            <w:tcW w:w="235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Pago en efectivo</w:t>
            </w:r>
          </w:p>
        </w:tc>
        <w:tc>
          <w:tcPr>
            <w:tcW w:w="593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Total = Precio − 42 % del precio.</w:t>
            </w:r>
          </w:p>
        </w:tc>
      </w:tr>
    </w:tbl>
    <w:p>
      <w:pPr>
        <w:spacing w:before="0" w:after="0"/>
      </w:pPr>
    </w:p>
    <w:p>
      <w:pPr>
        <w:pStyle w:val="Ttulo2"/>
        <w:numPr>
          <w:ilvl w:val="1"/>
          <w:numId w:val="20"/>
        </w:numPr>
        <w:spacing w:before="60" w:after="80" w:line="276" w:lineRule="auto"/>
        <w:jc w:val="left"/>
      </w:pPr>
      <w:r>
        <w:rPr>
          <w:rFonts w:ascii="Calibri" w:hAnsi="Calibri"/>
          <w:b/>
          <w:color w:val="000000"/>
          <w:sz w:val="22"/>
        </w:rPr>
        <w:t xml:space="preserve">Condiciones del Entorno</w:t>
      </w:r>
    </w:p>
    <w:p>
      <w:pPr>
        <w:spacing w:before="60" w:after="80" w:line="276" w:lineRule="auto"/>
        <w:jc w:val="both"/>
      </w:pPr>
      <w:r>
        <w:rPr>
          <w:rFonts w:ascii="Calibri" w:hAnsi="Calibri"/>
          <w:b w:val="0"/>
          <w:color w:val="000000"/>
          <w:sz w:val="22"/>
        </w:rPr>
        <w:t xml:space="preserve">El sistema operará en una red bajo el modelo cliente-servidor. Ambos servidores se despliegan en Payara Server 7 y se conectan a un servidor MySQL 8. Los clientes de consola, escritorio, web y móvil se comunican con el servicio de la comercializadora por HTTP, y la comercializadora se comunica con el Core BanQuito también por HTTP mediante mensajes SOAP. Para su correcta operación se requiere conectividad estable entre los clientes, los servidores de aplicaciones y el servidor de base de datos.</w:t>
      </w:r>
    </w:p>
    <w:p>
      <w:pPr>
        <w:pStyle w:val="Ttulo2"/>
        <w:numPr>
          <w:ilvl w:val="1"/>
          <w:numId w:val="20"/>
        </w:numPr>
        <w:spacing w:before="60" w:after="80" w:line="276" w:lineRule="auto"/>
        <w:jc w:val="left"/>
      </w:pPr>
      <w:r>
        <w:rPr>
          <w:rFonts w:ascii="Calibri" w:hAnsi="Calibri"/>
          <w:b/>
          <w:color w:val="000000"/>
          <w:sz w:val="22"/>
        </w:rPr>
        <w:t xml:space="preserve">Características de los Usuarios</w:t>
      </w:r>
    </w:p>
    <w:p>
      <w:pPr>
        <w:spacing w:before="60" w:after="80" w:line="276" w:lineRule="auto"/>
        <w:jc w:val="both"/>
      </w:pPr>
      <w:r>
        <w:rPr>
          <w:rFonts w:ascii="Calibri" w:hAnsi="Calibri"/>
          <w:b w:val="0"/>
          <w:color w:val="000000"/>
          <w:sz w:val="22"/>
        </w:rPr>
        <w:t xml:space="preserve">El sistema cuenta con un usuario humano, el vendedor de la comercializadora, y con un actor de sistema, la aplicación de la comercializadora que invoca los servicios del banco.</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5</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Caracterización del usuario final (Vendedor)</w:t>
      </w:r>
    </w:p>
    <w:tbl>
      <w:tblPr>
        <w:tblStyle w:val="Tablaconcuadrcula4-nfasis1"/>
        <w:tblW w:w="9420" w:type="dxa"/>
        <w:jc w:val="center"/>
        <w:tblLayout w:type="fixed"/>
        <w:tblLook w:val="04A0" w:firstRow="1" w:lastRow="0" w:firstColumn="1" w:lastColumn="0" w:noHBand="0" w:noVBand="1"/>
      </w:tblPr>
      <w:tblGrid>
        <w:gridCol w:w="2449"/>
        <w:gridCol w:w="6971"/>
      </w:tblGrid>
      <w:tr>
        <w:trPr>
          <w:cantSplit/>
          <w:tblHeader/>
        </w:trPr>
        <w:tc>
          <w:tcPr>
            <w:tcW w:w="244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Característica</w:t>
            </w:r>
          </w:p>
        </w:tc>
        <w:tc>
          <w:tcPr>
            <w:tcW w:w="6971"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Descripción</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Tipo de usuario</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Vendedor de la comercializadora de teléfonos celulares.</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Formación</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No requerida.</w:t>
            </w:r>
          </w:p>
        </w:tc>
      </w:tr>
      <w:tr>
        <w:trPr>
          <w:cantSplit/>
        </w:trPr>
        <w:tc>
          <w:tcPr>
            <w:tcW w:w="2449"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Habilidades</w:t>
            </w:r>
          </w:p>
        </w:tc>
        <w:tc>
          <w:tcPr>
            <w:tcW w:w="697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Manejo básico de interfaces web, móviles, de escritorio o de consola.</w:t>
            </w:r>
          </w:p>
        </w:tc>
      </w:tr>
      <w:tr>
        <w:trPr>
          <w:cantSplit/>
        </w:trPr>
        <w:tc>
          <w:tcPr>
            <w:tcW w:w="2449"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Actividades</w:t>
            </w:r>
          </w:p>
        </w:tc>
        <w:tc>
          <w:tcPr>
            <w:tcW w:w="697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Mantener el catálogo, registrar ventas en efectivo o a crédito con la cédula del comprador y el plazo elegido, y consultar la tabla de amortización del crédito.</w:t>
            </w:r>
          </w:p>
        </w:tc>
      </w:tr>
    </w:tbl>
    <w:p>
      <w:pPr>
        <w:spacing w:before="0" w:after="0"/>
      </w:pPr>
    </w:p>
    <w:p>
      <w:pPr>
        <w:pStyle w:val="Ttulo2"/>
        <w:numPr>
          <w:ilvl w:val="1"/>
          <w:numId w:val="20"/>
        </w:numPr>
        <w:spacing w:before="60" w:after="80" w:line="276" w:lineRule="auto"/>
        <w:jc w:val="left"/>
      </w:pPr>
      <w:r>
        <w:rPr>
          <w:rFonts w:ascii="Calibri" w:hAnsi="Calibri"/>
          <w:b/>
          <w:color w:val="000000"/>
          <w:sz w:val="22"/>
        </w:rPr>
        <w:t xml:space="preserve">Interfaces Externas</w:t>
      </w:r>
    </w:p>
    <w:p>
      <w:pPr>
        <w:spacing w:before="60" w:after="80" w:line="276" w:lineRule="auto"/>
        <w:jc w:val="both"/>
      </w:pPr>
      <w:r>
        <w:rPr>
          <w:rFonts w:ascii="Calibri" w:hAnsi="Calibri"/>
          <w:b w:val="0"/>
          <w:color w:val="000000"/>
          <w:sz w:val="22"/>
        </w:rPr>
        <w:t xml:space="preserve">Las interfaces externas del sistema son la red, a través de la cual se intercambian los mensajes SOAP, y el motor de base de datos MySQL, al que cada servidor accede mediante JDBC sobre su propio esquema: banquito para el Core y comercializadora para la tienda.</w:t>
      </w:r>
    </w:p>
    <w:p>
      <w:pPr>
        <w:pStyle w:val="Ttulo2"/>
        <w:numPr>
          <w:ilvl w:val="1"/>
          <w:numId w:val="20"/>
        </w:numPr>
        <w:spacing w:before="60" w:after="80" w:line="276" w:lineRule="auto"/>
        <w:jc w:val="left"/>
      </w:pPr>
      <w:r>
        <w:rPr>
          <w:rFonts w:ascii="Calibri" w:hAnsi="Calibri"/>
          <w:b/>
          <w:color w:val="000000"/>
          <w:sz w:val="22"/>
        </w:rPr>
        <w:t xml:space="preserve">Restricciones</w:t>
      </w:r>
    </w:p>
    <w:p>
      <w:pPr>
        <w:pStyle w:val="Prrafodelista"/>
        <w:numPr>
          <w:ilvl w:val="0"/>
          <w:numId w:val="34"/>
        </w:numPr>
        <w:spacing w:before="60" w:after="80" w:line="276" w:lineRule="auto"/>
        <w:jc w:val="both"/>
      </w:pPr>
      <w:r>
        <w:rPr>
          <w:rFonts w:ascii="Calibri" w:hAnsi="Calibri"/>
          <w:b w:val="0"/>
          <w:color w:val="000000"/>
          <w:sz w:val="22"/>
        </w:rPr>
        <w:t xml:space="preserve">Hardware: equipos con procesador Intel Core i3 o superior, 8 GB de RAM y tarjeta de red funcional.</w:t>
      </w:r>
    </w:p>
    <w:p>
      <w:pPr>
        <w:pStyle w:val="Prrafodelista"/>
        <w:numPr>
          <w:ilvl w:val="0"/>
          <w:numId w:val="34"/>
        </w:numPr>
        <w:spacing w:before="60" w:after="80" w:line="276" w:lineRule="auto"/>
        <w:jc w:val="both"/>
      </w:pPr>
      <w:r>
        <w:rPr>
          <w:rFonts w:ascii="Calibri" w:hAnsi="Calibri"/>
          <w:b w:val="0"/>
          <w:color w:val="000000"/>
          <w:sz w:val="22"/>
        </w:rPr>
        <w:t xml:space="preserve">Se trabaja con el sistema operativo Windows 11.</w:t>
      </w:r>
    </w:p>
    <w:p>
      <w:pPr>
        <w:pStyle w:val="Prrafodelista"/>
        <w:numPr>
          <w:ilvl w:val="0"/>
          <w:numId w:val="34"/>
        </w:numPr>
        <w:spacing w:before="60" w:after="80" w:line="276" w:lineRule="auto"/>
        <w:jc w:val="both"/>
      </w:pPr>
      <w:r>
        <w:rPr>
          <w:rFonts w:ascii="Calibri" w:hAnsi="Calibri"/>
          <w:b w:val="0"/>
          <w:color w:val="000000"/>
          <w:sz w:val="22"/>
        </w:rPr>
        <w:t xml:space="preserve">Los diagramas del sistema se elaboran con PowerDesigner 16.6.</w:t>
      </w:r>
    </w:p>
    <w:p>
      <w:pPr>
        <w:pStyle w:val="Prrafodelista"/>
        <w:numPr>
          <w:ilvl w:val="0"/>
          <w:numId w:val="34"/>
        </w:numPr>
        <w:spacing w:before="60" w:after="80" w:line="276" w:lineRule="auto"/>
        <w:jc w:val="both"/>
      </w:pPr>
      <w:r>
        <w:rPr>
          <w:rFonts w:ascii="Calibri" w:hAnsi="Calibri"/>
          <w:b w:val="0"/>
          <w:color w:val="000000"/>
          <w:sz w:val="22"/>
        </w:rPr>
        <w:t xml:space="preserve">Toda la lógica de los servidores y de los clientes Java se programa con Java JDK 21 en proyectos Maven.</w:t>
      </w:r>
    </w:p>
    <w:p>
      <w:pPr>
        <w:pStyle w:val="Prrafodelista"/>
        <w:numPr>
          <w:ilvl w:val="0"/>
          <w:numId w:val="34"/>
        </w:numPr>
        <w:spacing w:before="60" w:after="80" w:line="276" w:lineRule="auto"/>
        <w:jc w:val="both"/>
      </w:pPr>
      <w:r>
        <w:rPr>
          <w:rFonts w:ascii="Calibri" w:hAnsi="Calibri"/>
          <w:b w:val="0"/>
          <w:color w:val="000000"/>
          <w:sz w:val="22"/>
        </w:rPr>
        <w:t xml:space="preserve">El servidor de aplicaciones es Payara Server 7 Community Edition con Jakarta EE 10 (JAX-WS).</w:t>
      </w:r>
    </w:p>
    <w:p>
      <w:pPr>
        <w:pStyle w:val="Prrafodelista"/>
        <w:numPr>
          <w:ilvl w:val="0"/>
          <w:numId w:val="34"/>
        </w:numPr>
        <w:spacing w:before="60" w:after="80" w:line="276" w:lineRule="auto"/>
        <w:jc w:val="both"/>
      </w:pPr>
      <w:r>
        <w:rPr>
          <w:rFonts w:ascii="Calibri" w:hAnsi="Calibri"/>
          <w:b w:val="0"/>
          <w:color w:val="000000"/>
          <w:sz w:val="22"/>
        </w:rPr>
        <w:t xml:space="preserve">La persistencia se realiza en MySQL 8 con dos esquemas independientes, uno por aplicación.</w:t>
      </w:r>
    </w:p>
    <w:p>
      <w:pPr>
        <w:pStyle w:val="Prrafodelista"/>
        <w:numPr>
          <w:ilvl w:val="0"/>
          <w:numId w:val="34"/>
        </w:numPr>
        <w:spacing w:before="60" w:after="80" w:line="276" w:lineRule="auto"/>
        <w:jc w:val="both"/>
      </w:pPr>
      <w:r>
        <w:rPr>
          <w:rFonts w:ascii="Calibri" w:hAnsi="Calibri"/>
          <w:b w:val="0"/>
          <w:color w:val="000000"/>
          <w:sz w:val="22"/>
        </w:rPr>
        <w:t xml:space="preserve">El Core BanQuito no tiene interfaz de usuario: solo expone servicios web.</w:t>
      </w:r>
    </w:p>
    <w:p>
      <w:pPr>
        <w:pStyle w:val="Prrafodelista"/>
        <w:numPr>
          <w:ilvl w:val="0"/>
          <w:numId w:val="34"/>
        </w:numPr>
        <w:spacing w:before="60" w:after="80" w:line="276" w:lineRule="auto"/>
        <w:jc w:val="both"/>
      </w:pPr>
      <w:r>
        <w:rPr>
          <w:rFonts w:ascii="Calibri" w:hAnsi="Calibri"/>
          <w:b w:val="0"/>
          <w:color w:val="000000"/>
          <w:sz w:val="22"/>
        </w:rPr>
        <w:t xml:space="preserve">La comercializadora no lleva inventario: basta una entidad con los teléfonos disponibles para la venta.</w:t>
      </w:r>
    </w:p>
    <w:p>
      <w:pPr>
        <w:pStyle w:val="Ttulo2"/>
        <w:numPr>
          <w:ilvl w:val="1"/>
          <w:numId w:val="20"/>
        </w:numPr>
        <w:spacing w:before="60" w:after="80" w:line="276" w:lineRule="auto"/>
        <w:jc w:val="left"/>
      </w:pPr>
      <w:r>
        <w:rPr>
          <w:rFonts w:ascii="Calibri" w:hAnsi="Calibri"/>
          <w:b/>
          <w:color w:val="000000"/>
          <w:sz w:val="22"/>
        </w:rPr>
        <w:t xml:space="preserve">Suposiciones y Dependencias</w:t>
      </w:r>
    </w:p>
    <w:p>
      <w:pPr>
        <w:spacing w:before="60" w:after="80" w:line="276" w:lineRule="auto"/>
        <w:jc w:val="both"/>
      </w:pPr>
      <w:r>
        <w:rPr>
          <w:rFonts w:ascii="Calibri" w:hAnsi="Calibri"/>
          <w:b w:val="0"/>
          <w:color w:val="000000"/>
          <w:sz w:val="22"/>
        </w:rPr>
        <w:t xml:space="preserve">Para resolver ambigüedades del enunciado se adoptan los siguientes supuestos, que deberán validarse con el docente:</w:t>
      </w:r>
    </w:p>
    <w:p>
      <w:pPr>
        <w:pStyle w:val="Prrafodelista"/>
        <w:numPr>
          <w:ilvl w:val="0"/>
          <w:numId w:val="34"/>
        </w:numPr>
        <w:spacing w:before="60" w:after="80" w:line="276" w:lineRule="auto"/>
        <w:jc w:val="both"/>
      </w:pPr>
      <w:r>
        <w:rPr>
          <w:rFonts w:ascii="Calibri" w:hAnsi="Calibri"/>
          <w:b w:val="0"/>
          <w:color w:val="000000"/>
          <w:sz w:val="22"/>
        </w:rPr>
        <w:t xml:space="preserve">El monto máximo se calcula con el 30 % indicado en la fórmula del enunciado; el texto menciona un 35 %.</w:t>
      </w:r>
    </w:p>
    <w:p>
      <w:pPr>
        <w:pStyle w:val="Prrafodelista"/>
        <w:numPr>
          <w:ilvl w:val="0"/>
          <w:numId w:val="34"/>
        </w:numPr>
        <w:spacing w:before="60" w:after="80" w:line="276" w:lineRule="auto"/>
        <w:jc w:val="both"/>
      </w:pPr>
      <w:r>
        <w:rPr>
          <w:rFonts w:ascii="Calibri" w:hAnsi="Calibri"/>
          <w:b w:val="0"/>
          <w:color w:val="000000"/>
          <w:sz w:val="22"/>
        </w:rPr>
        <w:t xml:space="preserve">El promedio de depósitos y el de retiros se calculan como la media aritmética de los valores de los movimientos DEP y RET, respectivamente, de todas las cuentas del cliente en los últimos tres meses.</w:t>
      </w:r>
    </w:p>
    <w:p>
      <w:pPr>
        <w:pStyle w:val="Prrafodelista"/>
        <w:numPr>
          <w:ilvl w:val="0"/>
          <w:numId w:val="34"/>
        </w:numPr>
        <w:spacing w:before="60" w:after="80" w:line="276" w:lineRule="auto"/>
        <w:jc w:val="both"/>
      </w:pPr>
      <w:r>
        <w:rPr>
          <w:rFonts w:ascii="Calibri" w:hAnsi="Calibri"/>
          <w:b w:val="0"/>
          <w:color w:val="000000"/>
          <w:sz w:val="22"/>
        </w:rPr>
        <w:t xml:space="preserve">El “último mes” corresponde a los 30 días anteriores a la fecha de la consulta.</w:t>
      </w:r>
    </w:p>
    <w:p>
      <w:pPr>
        <w:pStyle w:val="Prrafodelista"/>
        <w:numPr>
          <w:ilvl w:val="0"/>
          <w:numId w:val="34"/>
        </w:numPr>
        <w:spacing w:before="60" w:after="80" w:line="276" w:lineRule="auto"/>
        <w:jc w:val="both"/>
      </w:pPr>
      <w:r>
        <w:rPr>
          <w:rFonts w:ascii="Calibri" w:hAnsi="Calibri"/>
          <w:b w:val="0"/>
          <w:color w:val="000000"/>
          <w:sz w:val="22"/>
        </w:rPr>
        <w:t xml:space="preserve">El servicio que verifica el sujeto de crédito retorna además el código de cliente, porque los demás servicios lo requieren.</w:t>
      </w:r>
    </w:p>
    <w:p>
      <w:pPr>
        <w:pStyle w:val="Prrafodelista"/>
        <w:numPr>
          <w:ilvl w:val="0"/>
          <w:numId w:val="34"/>
        </w:numPr>
        <w:spacing w:before="60" w:after="80" w:line="276" w:lineRule="auto"/>
        <w:jc w:val="both"/>
      </w:pPr>
      <w:r>
        <w:rPr>
          <w:rFonts w:ascii="Calibri" w:hAnsi="Calibri"/>
          <w:b w:val="0"/>
          <w:color w:val="000000"/>
          <w:sz w:val="22"/>
        </w:rPr>
        <w:t xml:space="preserve">La venta a crédito se factura por el precio completo del teléfono; el descuento del 42 % aplica solo al pago en efectivo.</w:t>
      </w:r>
    </w:p>
    <w:p>
      <w:pPr>
        <w:pStyle w:val="Prrafodelista"/>
        <w:numPr>
          <w:ilvl w:val="0"/>
          <w:numId w:val="34"/>
        </w:numPr>
        <w:spacing w:before="60" w:after="80" w:line="276" w:lineRule="auto"/>
        <w:jc w:val="both"/>
      </w:pPr>
      <w:r>
        <w:rPr>
          <w:rFonts w:ascii="Calibri" w:hAnsi="Calibri"/>
          <w:b w:val="0"/>
          <w:color w:val="000000"/>
          <w:sz w:val="22"/>
        </w:rPr>
        <w:t xml:space="preserve">En la tabla de amortización, el interés de cada cuota se redondea a dos decimales, igual que en el ejemplo del enunciado; la última cuota ajusta la diferencia de redondeo (a lo sumo unos centavos) para que el saldo final sea 0,00.</w:t>
      </w:r>
    </w:p>
    <w:p>
      <w:pPr>
        <w:spacing w:before="60" w:after="80" w:line="276" w:lineRule="auto"/>
        <w:jc w:val="both"/>
      </w:pPr>
      <w:r>
        <w:rPr>
          <w:rFonts w:ascii="Calibri" w:hAnsi="Calibri"/>
          <w:b w:val="0"/>
          <w:color w:val="000000"/>
          <w:sz w:val="22"/>
        </w:rPr>
        <w:t xml:space="preserve">Si el cliente necesita cambiar algún requisito expuesto en este documento, lo comunicará con anticipación; el requisito afectado se actualizará tanto en el desarrollo como en el documento.</w:t>
      </w:r>
    </w:p>
    <w:p>
      <w:r>
        <w:br w:type="page"/>
      </w:r>
    </w:p>
    <w:p>
      <w:pPr>
        <w:pStyle w:val="Ttulo1"/>
        <w:numPr>
          <w:ilvl w:val="0"/>
          <w:numId w:val="20"/>
        </w:numPr>
        <w:spacing w:before="60" w:after="80" w:line="276" w:lineRule="auto"/>
        <w:jc w:val="left"/>
      </w:pPr>
      <w:r>
        <w:rPr>
          <w:rFonts w:ascii="Calibri" w:hAnsi="Calibri"/>
          <w:b/>
          <w:color w:val="000000"/>
          <w:sz w:val="24"/>
        </w:rPr>
        <w:t xml:space="preserve">ESPECIFICACIÓN DE REQUERIMIENTOS</w:t>
      </w:r>
    </w:p>
    <w:p>
      <w:pPr>
        <w:pStyle w:val="Ttulo2"/>
        <w:numPr>
          <w:ilvl w:val="1"/>
          <w:numId w:val="20"/>
        </w:numPr>
        <w:spacing w:before="60" w:after="80" w:line="276" w:lineRule="auto"/>
        <w:jc w:val="left"/>
      </w:pPr>
      <w:r>
        <w:rPr>
          <w:rFonts w:ascii="Calibri" w:hAnsi="Calibri"/>
          <w:b/>
          <w:color w:val="000000"/>
          <w:sz w:val="22"/>
        </w:rPr>
        <w:t xml:space="preserve">Requisitos comunes de las interfaces</w:t>
      </w:r>
    </w:p>
    <w:p>
      <w:pPr>
        <w:pStyle w:val="Ttulo3"/>
        <w:numPr>
          <w:ilvl w:val="2"/>
          <w:numId w:val="20"/>
        </w:numPr>
        <w:spacing w:before="60" w:after="80" w:line="276" w:lineRule="auto"/>
        <w:jc w:val="left"/>
      </w:pPr>
      <w:r>
        <w:rPr>
          <w:rFonts w:ascii="Calibri" w:hAnsi="Calibri"/>
          <w:b/>
          <w:color w:val="000000"/>
          <w:sz w:val="22"/>
        </w:rPr>
        <w:t xml:space="preserve">Interfaces de usuario</w:t>
      </w:r>
    </w:p>
    <w:p>
      <w:pPr>
        <w:spacing w:before="60" w:after="80" w:line="276" w:lineRule="auto"/>
        <w:jc w:val="both"/>
      </w:pPr>
      <w:r>
        <w:rPr>
          <w:rFonts w:ascii="Calibri" w:hAnsi="Calibri"/>
          <w:b w:val="0"/>
          <w:color w:val="000000"/>
          <w:sz w:val="22"/>
        </w:rPr>
        <w:t xml:space="preserve">Los clientes con interfaz gráfica (escritorio, web y móvil) mantendrán una misma línea visual en tonos azules, con botones redondeados, validación de los campos numéricos y mensajes de error claros mostrados en diálogos propios. El cliente de consola presentará menús numéricos y solicitará los datos por teclado. Todas las interfaces capturan los datos de la venta (teléfono, forma de pago, cédula del comprador y plazo) y muestran la factura y la tabla de amortización de forma legible.</w:t>
      </w:r>
    </w:p>
    <w:p>
      <w:pPr>
        <w:pStyle w:val="Ttulo3"/>
        <w:numPr>
          <w:ilvl w:val="2"/>
          <w:numId w:val="20"/>
        </w:numPr>
        <w:spacing w:before="60" w:after="80" w:line="276" w:lineRule="auto"/>
        <w:jc w:val="left"/>
      </w:pPr>
      <w:r>
        <w:rPr>
          <w:rFonts w:ascii="Calibri" w:hAnsi="Calibri"/>
          <w:b/>
          <w:color w:val="000000"/>
          <w:sz w:val="22"/>
        </w:rPr>
        <w:t xml:space="preserve">Interfaces de hardware</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6</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Requisitos de interfaces de hardware</w:t>
      </w:r>
    </w:p>
    <w:tbl>
      <w:tblPr>
        <w:tblStyle w:val="Tablaconcuadrcula4-nfasis1"/>
        <w:tblW w:w="9420" w:type="dxa"/>
        <w:jc w:val="center"/>
        <w:tblLayout w:type="fixed"/>
        <w:tblLook w:val="04A0" w:firstRow="1" w:lastRow="0" w:firstColumn="1" w:lastColumn="0" w:noHBand="0" w:noVBand="1"/>
      </w:tblPr>
      <w:tblGrid>
        <w:gridCol w:w="1695"/>
        <w:gridCol w:w="2072"/>
        <w:gridCol w:w="2826"/>
        <w:gridCol w:w="2827"/>
      </w:tblGrid>
      <w:tr>
        <w:trPr>
          <w:cantSplit/>
          <w:tblHeader/>
        </w:trPr>
        <w:tc>
          <w:tcPr>
            <w:tcW w:w="1695"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Nombre</w:t>
            </w:r>
          </w:p>
        </w:tc>
        <w:tc>
          <w:tcPr>
            <w:tcW w:w="2072"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Detalle</w:t>
            </w:r>
          </w:p>
        </w:tc>
        <w:tc>
          <w:tcPr>
            <w:tcW w:w="2826"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Características</w:t>
            </w:r>
          </w:p>
        </w:tc>
        <w:tc>
          <w:tcPr>
            <w:tcW w:w="2827"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Descripción</w:t>
            </w:r>
          </w:p>
        </w:tc>
      </w:tr>
      <w:tr>
        <w:trPr>
          <w:cantSplit/>
        </w:trPr>
        <w:tc>
          <w:tcPr>
            <w:tcW w:w="1695"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Monitor</w:t>
            </w:r>
          </w:p>
        </w:tc>
        <w:tc>
          <w:tcPr>
            <w:tcW w:w="207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Dispositivo de salida</w:t>
            </w:r>
          </w:p>
        </w:tc>
        <w:tc>
          <w:tcPr>
            <w:tcW w:w="282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Pantalla Full HD (1920 × 1080), 16:9</w:t>
            </w:r>
          </w:p>
        </w:tc>
        <w:tc>
          <w:tcPr>
            <w:tcW w:w="2827"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Muestra la información y los resultados al usuario.</w:t>
            </w:r>
          </w:p>
        </w:tc>
      </w:tr>
      <w:tr>
        <w:trPr>
          <w:cantSplit/>
        </w:trPr>
        <w:tc>
          <w:tcPr>
            <w:tcW w:w="1695"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Mouse</w:t>
            </w:r>
          </w:p>
        </w:tc>
        <w:tc>
          <w:tcPr>
            <w:tcW w:w="207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Dispositivo apuntador</w:t>
            </w:r>
          </w:p>
        </w:tc>
        <w:tc>
          <w:tcPr>
            <w:tcW w:w="282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Ratón óptico de 1000 dpi</w:t>
            </w:r>
          </w:p>
        </w:tc>
        <w:tc>
          <w:tcPr>
            <w:tcW w:w="2827"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Permite interactuar con las interfaces gráficas.</w:t>
            </w:r>
          </w:p>
        </w:tc>
      </w:tr>
      <w:tr>
        <w:trPr>
          <w:cantSplit/>
        </w:trPr>
        <w:tc>
          <w:tcPr>
            <w:tcW w:w="1695"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Teclado</w:t>
            </w:r>
          </w:p>
        </w:tc>
        <w:tc>
          <w:tcPr>
            <w:tcW w:w="207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Dispositivo de entrada</w:t>
            </w:r>
          </w:p>
        </w:tc>
        <w:tc>
          <w:tcPr>
            <w:tcW w:w="282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Teclado estándar USB</w:t>
            </w:r>
          </w:p>
        </w:tc>
        <w:tc>
          <w:tcPr>
            <w:tcW w:w="2827"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Permite ingresar datos y navegar los menús de consola.</w:t>
            </w:r>
          </w:p>
        </w:tc>
      </w:tr>
      <w:tr>
        <w:trPr>
          <w:cantSplit/>
        </w:trPr>
        <w:tc>
          <w:tcPr>
            <w:tcW w:w="1695"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Computador / Servidor</w:t>
            </w:r>
          </w:p>
        </w:tc>
        <w:tc>
          <w:tcPr>
            <w:tcW w:w="207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Estación de desarrollo y despliegue</w:t>
            </w:r>
          </w:p>
        </w:tc>
        <w:tc>
          <w:tcPr>
            <w:tcW w:w="282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Intel Core i3 o superior, 8 GB de RAM, SSD de 256 GB</w:t>
            </w:r>
          </w:p>
        </w:tc>
        <w:tc>
          <w:tcPr>
            <w:tcW w:w="2827"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Aloja NetBeans, Payara Server 7, MySQL y los clientes de prueba.</w:t>
            </w:r>
          </w:p>
        </w:tc>
      </w:tr>
      <w:tr>
        <w:trPr>
          <w:cantSplit/>
        </w:trPr>
        <w:tc>
          <w:tcPr>
            <w:tcW w:w="1695"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Dispositivo móvil / Emulador</w:t>
            </w:r>
          </w:p>
        </w:tc>
        <w:tc>
          <w:tcPr>
            <w:tcW w:w="207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Ejecución del cliente móvil</w:t>
            </w:r>
          </w:p>
        </w:tc>
        <w:tc>
          <w:tcPr>
            <w:tcW w:w="282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Android API 24 o superior</w:t>
            </w:r>
          </w:p>
        </w:tc>
        <w:tc>
          <w:tcPr>
            <w:tcW w:w="2827"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Ejecuta el cliente Android de la comercializadora.</w:t>
            </w:r>
          </w:p>
        </w:tc>
      </w:tr>
    </w:tbl>
    <w:p>
      <w:pPr>
        <w:spacing w:before="0" w:after="0"/>
      </w:pPr>
    </w:p>
    <w:p>
      <w:pPr>
        <w:pStyle w:val="Ttulo3"/>
        <w:numPr>
          <w:ilvl w:val="2"/>
          <w:numId w:val="20"/>
        </w:numPr>
        <w:spacing w:before="60" w:after="80" w:line="276" w:lineRule="auto"/>
        <w:jc w:val="left"/>
      </w:pPr>
      <w:r>
        <w:rPr>
          <w:rFonts w:ascii="Calibri" w:hAnsi="Calibri"/>
          <w:b/>
          <w:color w:val="000000"/>
          <w:sz w:val="22"/>
        </w:rPr>
        <w:t xml:space="preserve">Interfaces de software</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7</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Requisitos de interfaces de software y entorno de ejecución</w:t>
      </w:r>
    </w:p>
    <w:tbl>
      <w:tblPr>
        <w:tblStyle w:val="Tablaconcuadrcula4-nfasis1"/>
        <w:tblW w:w="9420" w:type="dxa"/>
        <w:jc w:val="center"/>
        <w:tblLayout w:type="fixed"/>
        <w:tblLook w:val="04A0" w:firstRow="1" w:lastRow="0" w:firstColumn="1" w:lastColumn="0" w:noHBand="0" w:noVBand="1"/>
      </w:tblPr>
      <w:tblGrid>
        <w:gridCol w:w="2260"/>
        <w:gridCol w:w="3202"/>
        <w:gridCol w:w="3958"/>
      </w:tblGrid>
      <w:tr>
        <w:trPr>
          <w:cantSplit/>
          <w:tblHeader/>
        </w:trPr>
        <w:tc>
          <w:tcPr>
            <w:tcW w:w="2260"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Tecnología / Herramienta</w:t>
            </w:r>
          </w:p>
        </w:tc>
        <w:tc>
          <w:tcPr>
            <w:tcW w:w="3202"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Detalle técnico</w:t>
            </w:r>
          </w:p>
        </w:tc>
        <w:tc>
          <w:tcPr>
            <w:tcW w:w="3958"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Propósito en el proyecto</w:t>
            </w:r>
          </w:p>
        </w:tc>
      </w:tr>
      <w:tr>
        <w:trPr>
          <w:cantSplit/>
        </w:trPr>
        <w:tc>
          <w:tcPr>
            <w:tcW w:w="2260"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Sistema operativo</w:t>
            </w:r>
          </w:p>
        </w:tc>
        <w:tc>
          <w:tcPr>
            <w:tcW w:w="320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Microsoft Windows 11 (64 bits)</w:t>
            </w:r>
          </w:p>
        </w:tc>
        <w:tc>
          <w:tcPr>
            <w:tcW w:w="3958"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Plataforma anfitriona de las herramientas, los servidores y los clientes.</w:t>
            </w:r>
          </w:p>
        </w:tc>
      </w:tr>
      <w:tr>
        <w:trPr>
          <w:cantSplit/>
        </w:trPr>
        <w:tc>
          <w:tcPr>
            <w:tcW w:w="2260"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Entorno de desarrollo</w:t>
            </w:r>
          </w:p>
        </w:tc>
        <w:tc>
          <w:tcPr>
            <w:tcW w:w="320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Apache NetBeans IDE con Apache Maven</w:t>
            </w:r>
          </w:p>
        </w:tc>
        <w:tc>
          <w:tcPr>
            <w:tcW w:w="3958"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Construcción de los dos servicios SOAP y de los clientes Java.</w:t>
            </w:r>
          </w:p>
        </w:tc>
      </w:tr>
      <w:tr>
        <w:trPr>
          <w:cantSplit/>
        </w:trPr>
        <w:tc>
          <w:tcPr>
            <w:tcW w:w="2260"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Lenguaje y especificación</w:t>
            </w:r>
          </w:p>
        </w:tc>
        <w:tc>
          <w:tcPr>
            <w:tcW w:w="320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Java JDK 21 / Jakarta EE 10 (JAX-WS)</w:t>
            </w:r>
          </w:p>
        </w:tc>
        <w:tc>
          <w:tcPr>
            <w:tcW w:w="3958"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Implementación de los servicios web, sus contratos WSDL y la lógica de negocio.</w:t>
            </w:r>
          </w:p>
        </w:tc>
      </w:tr>
      <w:tr>
        <w:trPr>
          <w:cantSplit/>
        </w:trPr>
        <w:tc>
          <w:tcPr>
            <w:tcW w:w="2260"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Servidor de aplicaciones</w:t>
            </w:r>
          </w:p>
        </w:tc>
        <w:tc>
          <w:tcPr>
            <w:tcW w:w="320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Payara Server 7 Community Edition</w:t>
            </w:r>
          </w:p>
        </w:tc>
        <w:tc>
          <w:tcPr>
            <w:tcW w:w="3958"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Despliegue de WS_BanQuito_SOAP y WS_Comercializadora_SOAP.</w:t>
            </w:r>
          </w:p>
        </w:tc>
      </w:tr>
      <w:tr>
        <w:trPr>
          <w:cantSplit/>
        </w:trPr>
        <w:tc>
          <w:tcPr>
            <w:tcW w:w="2260"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Base de datos</w:t>
            </w:r>
          </w:p>
        </w:tc>
        <w:tc>
          <w:tcPr>
            <w:tcW w:w="320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MySQL 8 y MySQL Workbench; MySQL Connector/J (JDBC)</w:t>
            </w:r>
          </w:p>
        </w:tc>
        <w:tc>
          <w:tcPr>
            <w:tcW w:w="3958"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Persistencia de los esquemas banquito y comercializadora.</w:t>
            </w:r>
          </w:p>
        </w:tc>
      </w:tr>
      <w:tr>
        <w:trPr>
          <w:cantSplit/>
        </w:trPr>
        <w:tc>
          <w:tcPr>
            <w:tcW w:w="2260"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Cliente móvil</w:t>
            </w:r>
          </w:p>
        </w:tc>
        <w:tc>
          <w:tcPr>
            <w:tcW w:w="320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Android Studio, Android API 24 o superior, KSOAP2</w:t>
            </w:r>
          </w:p>
        </w:tc>
        <w:tc>
          <w:tcPr>
            <w:tcW w:w="3958"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Construcción del cliente Android que consume el servicio SOAP.</w:t>
            </w:r>
          </w:p>
        </w:tc>
      </w:tr>
      <w:tr>
        <w:trPr>
          <w:cantSplit/>
        </w:trPr>
        <w:tc>
          <w:tcPr>
            <w:tcW w:w="2260"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Modelado</w:t>
            </w:r>
          </w:p>
        </w:tc>
        <w:tc>
          <w:tcPr>
            <w:tcW w:w="320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PowerDesigner 16.6</w:t>
            </w:r>
          </w:p>
        </w:tc>
        <w:tc>
          <w:tcPr>
            <w:tcW w:w="3958"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Diagramas de casos de uso, entidad-relación y arquitectura.</w:t>
            </w:r>
          </w:p>
        </w:tc>
      </w:tr>
    </w:tbl>
    <w:p>
      <w:pPr>
        <w:spacing w:before="0" w:after="0"/>
      </w:pPr>
    </w:p>
    <w:p>
      <w:pPr>
        <w:pStyle w:val="Ttulo3"/>
        <w:numPr>
          <w:ilvl w:val="2"/>
          <w:numId w:val="20"/>
        </w:numPr>
        <w:spacing w:before="60" w:after="80" w:line="276" w:lineRule="auto"/>
        <w:jc w:val="left"/>
      </w:pPr>
      <w:r>
        <w:rPr>
          <w:rFonts w:ascii="Calibri" w:hAnsi="Calibri"/>
          <w:b/>
          <w:color w:val="000000"/>
          <w:sz w:val="22"/>
        </w:rPr>
        <w:t xml:space="preserve">Interfaces de comunicación</w:t>
      </w:r>
    </w:p>
    <w:p>
      <w:pPr>
        <w:spacing w:before="60" w:after="80" w:line="276" w:lineRule="auto"/>
        <w:jc w:val="both"/>
      </w:pPr>
      <w:r>
        <w:rPr>
          <w:rFonts w:ascii="Calibri" w:hAnsi="Calibri"/>
          <w:b w:val="0"/>
          <w:color w:val="000000"/>
          <w:sz w:val="22"/>
        </w:rPr>
        <w:t>La comunicación se realiza exclusivamente por la red mediante HTTP. Los cuatro clientes y la comercializadora intercambian mensajes SOAP en formato XML de acuerdo con el contrato WSDL de cada servicio. Cada error se informa con un código y un mensaje descriptivo que inicia con ese código (por ejemplo, «CRE-001: El cliente no es sujeto de crédito: ya mantiene un crédito activo en BanQuito.»). El Core devuelve las reglas incumplidas en los campos motivo y mensaje de sus respuestas y las demás fallas como SOAP Fault; la comercializadora declara en su WSDL la falla ExcepcionComercializadora {codigo, message}, que reciben los cuatro clientes:</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8</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Códigos de respuesta y gestión de excepciones SOAP</w:t>
      </w:r>
    </w:p>
    <w:tbl>
      <w:tblPr>
        <w:tblStyle w:val="Tablaconcuadrcula4-nfasis1"/>
        <w:tblW w:w="9420" w:type="dxa"/>
        <w:jc w:val="center"/>
        <w:tblLayout w:type="fixed"/>
        <w:tblLook w:val="04A0" w:firstRow="1" w:lastRow="0" w:firstColumn="1" w:lastColumn="0" w:noHBand="0" w:noVBand="1"/>
      </w:tblPr>
      <w:tblGrid>
        <w:gridCol w:w="1224"/>
        <w:gridCol w:w="1601"/>
        <w:gridCol w:w="3485"/>
        <w:gridCol w:w="3110"/>
      </w:tblGrid>
      <w:tr>
        <w:trPr>
          <w:cantSplit/>
          <w:tblHeader/>
        </w:trPr>
        <w:tc>
          <w:tcPr>
            <w:tcW w:w="1224"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Código</w:t>
            </w:r>
          </w:p>
        </w:tc>
        <w:tc>
          <w:tcPr>
            <w:tcW w:w="1601"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Tipo de evento</w:t>
            </w:r>
          </w:p>
        </w:tc>
        <w:tc>
          <w:tcPr>
            <w:tcW w:w="3485"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Condición</w:t>
            </w:r>
          </w:p>
        </w:tc>
        <w:tc>
          <w:tcPr>
            <w:tcW w:w="3110"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Mensaje retornado</w:t>
            </w:r>
          </w:p>
        </w:tc>
      </w:tr>
      <w:tr>
        <w:trPr>
          <w:cantSplit/>
        </w:trPr>
        <w:tc>
          <w:tcPr>
            <w:tcW w:w="1224"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OK</w:t>
            </w:r>
          </w:p>
        </w:tc>
        <w:tc>
          <w:tcPr>
            <w:tcW w:w="160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Éxito</w:t>
            </w:r>
          </w:p>
        </w:tc>
        <w:tc>
          <w:tcPr>
            <w:tcW w:w="348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La operación se procesó correctamente.</w:t>
            </w:r>
          </w:p>
        </w:tc>
        <w:tc>
          <w:tcPr>
            <w:tcW w:w="311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Operación realizada con éxito.</w:t>
            </w:r>
          </w:p>
        </w:tc>
      </w:tr>
      <w:tr>
        <w:trPr>
          <w:cantSplit/>
        </w:trPr>
        <w:tc>
          <w:tcPr>
            <w:tcW w:w="1224"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VAL-001</w:t>
            </w:r>
          </w:p>
        </w:tc>
        <w:tc>
          <w:tcPr>
            <w:tcW w:w="160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Validación</w:t>
            </w:r>
          </w:p>
        </w:tc>
        <w:tc>
          <w:tcPr>
            <w:tcW w:w="348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Parámetro nulo, vacío, no numérico, fuera de rango o cédula con dígito verificador incorrecto.</w:t>
            </w:r>
          </w:p>
        </w:tc>
        <w:tc>
          <w:tcPr>
            <w:tcW w:w="311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Los datos ingresados no son válidos.</w:t>
            </w:r>
          </w:p>
        </w:tc>
      </w:tr>
      <w:tr>
        <w:trPr>
          <w:cantSplit/>
        </w:trPr>
        <w:tc>
          <w:tcPr>
            <w:tcW w:w="1224"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CLI-001</w:t>
            </w:r>
          </w:p>
        </w:tc>
        <w:tc>
          <w:tcPr>
            <w:tcW w:w="160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Cliente</w:t>
            </w:r>
          </w:p>
        </w:tc>
        <w:tc>
          <w:tcPr>
            <w:tcW w:w="348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La cédula o el código no corresponde a un cliente del banco.</w:t>
            </w:r>
          </w:p>
        </w:tc>
        <w:tc>
          <w:tcPr>
            <w:tcW w:w="311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La persona no es cliente del banco.</w:t>
            </w:r>
          </w:p>
        </w:tc>
      </w:tr>
      <w:tr>
        <w:trPr>
          <w:cantSplit/>
        </w:trPr>
        <w:tc>
          <w:tcPr>
            <w:tcW w:w="1224"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CRE-001</w:t>
            </w:r>
          </w:p>
        </w:tc>
        <w:tc>
          <w:tcPr>
            <w:tcW w:w="160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Crédito</w:t>
            </w:r>
          </w:p>
        </w:tc>
        <w:tc>
          <w:tcPr>
            <w:tcW w:w="348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El cliente no cumple alguna regla de sujeto de crédito.</w:t>
            </w:r>
          </w:p>
        </w:tc>
        <w:tc>
          <w:tcPr>
            <w:tcW w:w="311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El cliente no es sujeto de crédito: &lt;motivo&gt;.</w:t>
            </w:r>
          </w:p>
        </w:tc>
      </w:tr>
      <w:tr>
        <w:trPr>
          <w:cantSplit/>
        </w:trPr>
        <w:tc>
          <w:tcPr>
            <w:tcW w:w="1224"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CRE-002</w:t>
            </w:r>
          </w:p>
        </w:tc>
        <w:tc>
          <w:tcPr>
            <w:tcW w:w="160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Crédito</w:t>
            </w:r>
          </w:p>
        </w:tc>
        <w:tc>
          <w:tcPr>
            <w:tcW w:w="348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El precio supera el monto máximo aprobado.</w:t>
            </w:r>
          </w:p>
        </w:tc>
        <w:tc>
          <w:tcPr>
            <w:tcW w:w="311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El valor del teléfono supera el monto máximo de crédito.</w:t>
            </w:r>
          </w:p>
        </w:tc>
      </w:tr>
      <w:tr>
        <w:trPr>
          <w:cantSplit/>
        </w:trPr>
        <w:tc>
          <w:tcPr>
            <w:tcW w:w="1224"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CRE-003</w:t>
            </w:r>
          </w:p>
        </w:tc>
        <w:tc>
          <w:tcPr>
            <w:tcW w:w="160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Crédito</w:t>
            </w:r>
          </w:p>
        </w:tc>
        <w:tc>
          <w:tcPr>
            <w:tcW w:w="348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El número de cuotas no está entre 3 y 18.</w:t>
            </w:r>
          </w:p>
        </w:tc>
        <w:tc>
          <w:tcPr>
            <w:tcW w:w="311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El plazo debe estar entre 3 y 18 meses.</w:t>
            </w:r>
          </w:p>
        </w:tc>
      </w:tr>
      <w:tr>
        <w:trPr>
          <w:cantSplit/>
        </w:trPr>
        <w:tc>
          <w:tcPr>
            <w:tcW w:w="1224"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BDD-001</w:t>
            </w:r>
          </w:p>
        </w:tc>
        <w:tc>
          <w:tcPr>
            <w:tcW w:w="1601"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Infraestructura</w:t>
            </w:r>
          </w:p>
        </w:tc>
        <w:tc>
          <w:tcPr>
            <w:tcW w:w="348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Falla de conexión o de transacción con MySQL.</w:t>
            </w:r>
          </w:p>
        </w:tc>
        <w:tc>
          <w:tcPr>
            <w:tcW w:w="311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No fue posible completar la operación. Intente nuevamente.</w:t>
            </w:r>
          </w:p>
        </w:tc>
      </w:tr>
    </w:tbl>
    <w:p>
      <w:pPr>
        <w:spacing w:before="0" w:after="0"/>
      </w:pPr>
    </w:p>
    <w:p>
      <w:pPr>
        <w:pStyle w:val="Ttulo2"/>
        <w:numPr>
          <w:ilvl w:val="1"/>
          <w:numId w:val="20"/>
        </w:numPr>
        <w:spacing w:before="60" w:after="80" w:line="276" w:lineRule="auto"/>
        <w:jc w:val="left"/>
      </w:pPr>
      <w:r>
        <w:rPr>
          <w:rFonts w:ascii="Calibri" w:hAnsi="Calibri"/>
          <w:b/>
          <w:color w:val="000000"/>
          <w:sz w:val="22"/>
        </w:rPr>
        <w:t xml:space="preserve">Requisitos Funcionales</w:t>
      </w:r>
    </w:p>
    <w:p>
      <w:pPr>
        <w:pStyle w:val="Ttulo3"/>
        <w:numPr>
          <w:ilvl w:val="2"/>
          <w:numId w:val="20"/>
        </w:numPr>
        <w:spacing w:before="60" w:after="80" w:line="276" w:lineRule="auto"/>
        <w:jc w:val="left"/>
      </w:pPr>
      <w:r>
        <w:rPr>
          <w:rFonts w:ascii="Calibri" w:hAnsi="Calibri"/>
          <w:b/>
          <w:color w:val="000000"/>
          <w:sz w:val="22"/>
        </w:rPr>
        <w:t xml:space="preserve">Objetivo General</w:t>
      </w:r>
    </w:p>
    <w:p>
      <w:pPr>
        <w:spacing w:before="60" w:after="80" w:line="276" w:lineRule="auto"/>
        <w:jc w:val="both"/>
      </w:pPr>
      <w:r>
        <w:rPr>
          <w:rFonts w:ascii="Calibri" w:hAnsi="Calibri"/>
          <w:b w:val="0"/>
          <w:color w:val="000000"/>
          <w:sz w:val="22"/>
        </w:rPr>
        <w:t xml:space="preserve">El Sistema BanQuito permitirá vender teléfonos celulares en efectivo o con crédito directo, evaluando de forma automática y centralizada la capacidad de crédito de los clientes del banco y registrando el crédito con su tabla de amortización.</w:t>
      </w:r>
    </w:p>
    <w:p>
      <w:pPr>
        <w:pStyle w:val="Ttulo3"/>
        <w:numPr>
          <w:ilvl w:val="2"/>
          <w:numId w:val="20"/>
        </w:numPr>
        <w:spacing w:before="60" w:after="80" w:line="276" w:lineRule="auto"/>
        <w:jc w:val="left"/>
      </w:pPr>
      <w:r>
        <w:rPr>
          <w:rFonts w:ascii="Calibri" w:hAnsi="Calibri"/>
          <w:b/>
          <w:color w:val="000000"/>
          <w:sz w:val="22"/>
        </w:rPr>
        <w:t xml:space="preserve">Objetivos Específicos</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9</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Objetivo OBJ-001: Evaluar la capacidad de crédito</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OBJ-001</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Evaluar la capacidad de crédito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Determinar si una persona es sujeto de crédito y calcular su monto máximo de crédito aplicando las reglas del banco.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Se basa en los clientes, cuentas y movimientos del Core.</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10</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Objetivo OBJ-002: Otorgar el crédito directo</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OBJ-002</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Otorgar el crédito directo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Aprobar el crédito, generar la tabla de amortización de cuota fija y registrarla en la base de datos del Core.</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El registro del crédito y de sus cuotas debe ser una única transacción.</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11</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Objetivo OBJ-003: Facturar la venta de teléfonos</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OBJ-003</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Facturar la venta de teléfonos</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Registrar la venta de teléfonos celulares con pago en efectivo o con crédito directo y administrar el catálogo.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Disponible en los cuatro clientes de la comercializadora.</w:t>
            </w:r>
          </w:p>
        </w:tc>
      </w:tr>
    </w:tbl>
    <w:p>
      <w:pPr>
        <w:spacing w:before="0" w:after="0"/>
      </w:pPr>
    </w:p>
    <w:p>
      <w:pPr>
        <w:pStyle w:val="Ttulo3"/>
        <w:numPr>
          <w:ilvl w:val="2"/>
          <w:numId w:val="20"/>
        </w:numPr>
        <w:spacing w:before="60" w:after="80" w:line="276" w:lineRule="auto"/>
        <w:jc w:val="left"/>
      </w:pPr>
      <w:r>
        <w:rPr>
          <w:rFonts w:ascii="Calibri" w:hAnsi="Calibri"/>
          <w:b/>
          <w:color w:val="000000"/>
          <w:sz w:val="22"/>
        </w:rPr>
        <w:t xml:space="preserve">Actores</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12</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Actor ACT-001: Vendedor</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ACT-001</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Vendedor</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Persona que usa los clientes de la comercializadora para mantener el catálogo, registrar ventas y consultar la tabla de amortización.</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No accede directamente a los servidores ni a las bases de datos.</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13</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Actor ACT-002: Sistema Comercializadora</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ACT-002</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Sistema Comercializadora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Aplicación de la comercializadora que invoca los servicios web del Core BanQuito para evaluar, otorgar y consultar créditos.</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Es el único consumidor de los servicios del Módulo de Crédito.</w:t>
            </w:r>
          </w:p>
        </w:tc>
      </w:tr>
    </w:tbl>
    <w:p>
      <w:pPr>
        <w:spacing w:before="0" w:after="0"/>
      </w:pPr>
    </w:p>
    <w:p>
      <w:pPr>
        <w:pStyle w:val="Ttulo3"/>
        <w:numPr>
          <w:ilvl w:val="2"/>
          <w:numId w:val="20"/>
        </w:numPr>
        <w:spacing w:before="60" w:after="80" w:line="276" w:lineRule="auto"/>
        <w:jc w:val="left"/>
      </w:pPr>
      <w:r>
        <w:rPr>
          <w:rFonts w:ascii="Calibri" w:hAnsi="Calibri"/>
          <w:b/>
          <w:color w:val="000000"/>
          <w:sz w:val="22"/>
        </w:rPr>
        <w:t xml:space="preserve">Lista de requisitos funcionales</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14</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Matriz de requisitos funcionales (RF-01 a RF-08)</w:t>
      </w:r>
    </w:p>
    <w:tbl>
      <w:tblPr>
        <w:tblStyle w:val="Tablaconcuadrcula4-nfasis1"/>
        <w:tblW w:w="9420" w:type="dxa"/>
        <w:jc w:val="center"/>
        <w:tblLayout w:type="fixed"/>
        <w:tblLook w:val="04A0" w:firstRow="1" w:lastRow="0" w:firstColumn="1" w:lastColumn="0" w:noHBand="0" w:noVBand="1"/>
      </w:tblPr>
      <w:tblGrid>
        <w:gridCol w:w="942"/>
        <w:gridCol w:w="4710"/>
        <w:gridCol w:w="2072"/>
        <w:gridCol w:w="1696"/>
      </w:tblGrid>
      <w:tr>
        <w:trPr>
          <w:cantSplit/>
          <w:tblHeader/>
        </w:trPr>
        <w:tc>
          <w:tcPr>
            <w:tcW w:w="942"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Código</w:t>
            </w:r>
          </w:p>
        </w:tc>
        <w:tc>
          <w:tcPr>
            <w:tcW w:w="4710"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Requerimiento</w:t>
            </w:r>
          </w:p>
        </w:tc>
        <w:tc>
          <w:tcPr>
            <w:tcW w:w="2072"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Caso de uso</w:t>
            </w:r>
          </w:p>
        </w:tc>
        <w:tc>
          <w:tcPr>
            <w:tcW w:w="1696"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Actor</w:t>
            </w:r>
          </w:p>
        </w:tc>
      </w:tr>
      <w:tr>
        <w:trPr>
          <w:cantSplit/>
        </w:trPr>
        <w:tc>
          <w:tcPr>
            <w:tcW w:w="942"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RF-01</w:t>
            </w:r>
          </w:p>
        </w:tc>
        <w:tc>
          <w:tcPr>
            <w:tcW w:w="471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El sistema debe verificar si una persona es sujeto de crédito a partir de su cédula, aplicando las reglas RN-01 a RN-04.</w:t>
            </w:r>
          </w:p>
        </w:tc>
        <w:tc>
          <w:tcPr>
            <w:tcW w:w="207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Verificar sujeto de crédito (CU-01)</w:t>
            </w:r>
          </w:p>
        </w:tc>
        <w:tc>
          <w:tcPr>
            <w:tcW w:w="169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Sistema Comercializadora</w:t>
            </w:r>
          </w:p>
        </w:tc>
      </w:tr>
      <w:tr>
        <w:trPr>
          <w:cantSplit/>
        </w:trPr>
        <w:tc>
          <w:tcPr>
            <w:tcW w:w="942"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RF-02</w:t>
            </w:r>
          </w:p>
        </w:tc>
        <w:tc>
          <w:tcPr>
            <w:tcW w:w="471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El sistema debe calcular el monto máximo de crédito de un cliente a partir de su código de cliente (RN-05).</w:t>
            </w:r>
          </w:p>
        </w:tc>
        <w:tc>
          <w:tcPr>
            <w:tcW w:w="207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Calcular monto máximo (CU-02)</w:t>
            </w:r>
          </w:p>
        </w:tc>
        <w:tc>
          <w:tcPr>
            <w:tcW w:w="169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Sistema Comercializadora</w:t>
            </w:r>
          </w:p>
        </w:tc>
      </w:tr>
      <w:tr>
        <w:trPr>
          <w:cantSplit/>
        </w:trPr>
        <w:tc>
          <w:tcPr>
            <w:tcW w:w="942"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RF-03</w:t>
            </w:r>
          </w:p>
        </w:tc>
        <w:tc>
          <w:tcPr>
            <w:tcW w:w="471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El sistema debe otorgar el crédito y registrar su tabla de amortización a partir del código de cliente, el precio del teléfono y el número de cuotas.</w:t>
            </w:r>
          </w:p>
        </w:tc>
        <w:tc>
          <w:tcPr>
            <w:tcW w:w="207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Otorgar crédito (CU-03)</w:t>
            </w:r>
          </w:p>
        </w:tc>
        <w:tc>
          <w:tcPr>
            <w:tcW w:w="169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Sistema Comercializadora</w:t>
            </w:r>
          </w:p>
        </w:tc>
      </w:tr>
      <w:tr>
        <w:trPr>
          <w:cantSplit/>
        </w:trPr>
        <w:tc>
          <w:tcPr>
            <w:tcW w:w="942"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RF-04</w:t>
            </w:r>
          </w:p>
        </w:tc>
        <w:tc>
          <w:tcPr>
            <w:tcW w:w="471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El sistema debe retornar la tabla de amortización de un crédito otorgado.</w:t>
            </w:r>
          </w:p>
        </w:tc>
        <w:tc>
          <w:tcPr>
            <w:tcW w:w="207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Consultar tabla de amortización (CU-04)</w:t>
            </w:r>
          </w:p>
        </w:tc>
        <w:tc>
          <w:tcPr>
            <w:tcW w:w="169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Sistema Comercializadora</w:t>
            </w:r>
          </w:p>
        </w:tc>
      </w:tr>
      <w:tr>
        <w:trPr>
          <w:cantSplit/>
        </w:trPr>
        <w:tc>
          <w:tcPr>
            <w:tcW w:w="942" w:type="dxa"/>
            <w:shd w:val="clear" w:color="auto" w:fill="F9FBFD"/>
            <w:tcMar>
              <w:top w:w="80" w:type="dxa"/>
              <w:bottom w:w="80" w:type="dxa"/>
              <w:left w:w="120" w:type="dxa"/>
              <w:right w:w="120" w:type="dxa"/>
            </w:tcMar>
          </w:tcPr>
          <w:p>
            <w:pPr/>
            <w:r/>
            <w:r>
              <w:rPr>
                <w:rFonts w:ascii="Calibri" w:hAnsi="Calibri"/>
                <w:b w:val="0"/>
                <w:sz w:val="19"/>
              </w:rPr>
              <w:t>RF-05</w:t>
            </w:r>
          </w:p>
        </w:tc>
        <w:tc>
          <w:tcPr>
            <w:tcW w:w="4710" w:type="dxa"/>
            <w:shd w:val="clear" w:color="auto" w:fill="F9FBFD"/>
            <w:tcMar>
              <w:top w:w="80" w:type="dxa"/>
              <w:bottom w:w="80" w:type="dxa"/>
              <w:left w:w="120" w:type="dxa"/>
              <w:right w:w="120" w:type="dxa"/>
            </w:tcMar>
          </w:tcPr>
          <w:p>
            <w:pPr/>
            <w:r/>
            <w:r>
              <w:rPr>
                <w:rFonts w:ascii="Calibri" w:hAnsi="Calibri"/>
                <w:b w:val="0"/>
                <w:sz w:val="19"/>
              </w:rPr>
              <w:t>El sistema debe proporcionar la funcionalidad de mantenimiento integral (CRUD: registrar, listar, consultar por ID, modificar y eliminar/desactivar lógicamente) del catálogo de teléfonos celulares.</w:t>
            </w:r>
          </w:p>
        </w:tc>
        <w:tc>
          <w:tcPr>
            <w:tcW w:w="2072" w:type="dxa"/>
            <w:shd w:val="clear" w:color="auto" w:fill="F9FBFD"/>
            <w:tcMar>
              <w:top w:w="80" w:type="dxa"/>
              <w:bottom w:w="80" w:type="dxa"/>
              <w:left w:w="120" w:type="dxa"/>
              <w:right w:w="120" w:type="dxa"/>
            </w:tcMar>
          </w:tcPr>
          <w:p>
            <w:pPr/>
            <w:r/>
            <w:r>
              <w:rPr>
                <w:rFonts w:ascii="Calibri" w:hAnsi="Calibri"/>
                <w:b w:val="0"/>
                <w:sz w:val="19"/>
              </w:rPr>
              <w:t>Mantener catálogo (CU-05)</w:t>
            </w:r>
          </w:p>
        </w:tc>
        <w:tc>
          <w:tcPr>
            <w:tcW w:w="1696" w:type="dxa"/>
            <w:shd w:val="clear" w:color="auto" w:fill="F9FBFD"/>
            <w:tcMar>
              <w:top w:w="80" w:type="dxa"/>
              <w:bottom w:w="80" w:type="dxa"/>
              <w:left w:w="120" w:type="dxa"/>
              <w:right w:w="120" w:type="dxa"/>
            </w:tcMar>
          </w:tcPr>
          <w:p>
            <w:pPr/>
            <w:r/>
            <w:r>
              <w:rPr>
                <w:rFonts w:ascii="Calibri" w:hAnsi="Calibri"/>
                <w:b w:val="0"/>
                <w:sz w:val="19"/>
              </w:rPr>
              <w:t>Vendedor</w:t>
            </w:r>
          </w:p>
        </w:tc>
      </w:tr>
      <w:tr>
        <w:trPr>
          <w:cantSplit/>
        </w:trPr>
        <w:tc>
          <w:tcPr>
            <w:tcW w:w="942"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RF-06</w:t>
            </w:r>
          </w:p>
        </w:tc>
        <w:tc>
          <w:tcPr>
            <w:tcW w:w="471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El sistema debe facturar ventas con pago en efectivo aplicando un descuento del 42 %.</w:t>
            </w:r>
          </w:p>
        </w:tc>
        <w:tc>
          <w:tcPr>
            <w:tcW w:w="207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Facturar en efectivo (CU-06)</w:t>
            </w:r>
          </w:p>
        </w:tc>
        <w:tc>
          <w:tcPr>
            <w:tcW w:w="169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Vendedor</w:t>
            </w:r>
          </w:p>
        </w:tc>
      </w:tr>
      <w:tr>
        <w:trPr>
          <w:cantSplit/>
        </w:trPr>
        <w:tc>
          <w:tcPr>
            <w:tcW w:w="942"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RF-07</w:t>
            </w:r>
          </w:p>
        </w:tc>
        <w:tc>
          <w:tcPr>
            <w:tcW w:w="471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El sistema debe facturar ventas con crédito directo cuando el banco aprueba el crédito.</w:t>
            </w:r>
          </w:p>
        </w:tc>
        <w:tc>
          <w:tcPr>
            <w:tcW w:w="207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Facturar con crédito directo (CU-07)</w:t>
            </w:r>
          </w:p>
        </w:tc>
        <w:tc>
          <w:tcPr>
            <w:tcW w:w="169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Vendedor</w:t>
            </w:r>
          </w:p>
        </w:tc>
      </w:tr>
      <w:tr>
        <w:trPr>
          <w:cantSplit/>
        </w:trPr>
        <w:tc>
          <w:tcPr>
            <w:tcW w:w="942"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RF-08</w:t>
            </w:r>
          </w:p>
        </w:tc>
        <w:tc>
          <w:tcPr>
            <w:tcW w:w="471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El sistema debe consultar desde la comercializadora la tabla de amortización del préstamo de un cliente.</w:t>
            </w:r>
          </w:p>
        </w:tc>
        <w:tc>
          <w:tcPr>
            <w:tcW w:w="207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Consultar amortización (CU-08)</w:t>
            </w:r>
          </w:p>
        </w:tc>
        <w:tc>
          <w:tcPr>
            <w:tcW w:w="169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Vendedor</w:t>
            </w:r>
          </w:p>
        </w:tc>
      </w:tr>
    </w:tbl>
    <w:p>
      <w:pPr>
        <w:spacing w:before="0" w:after="0"/>
      </w:pPr>
    </w:p>
    <w:p>
      <w:pPr>
        <w:pStyle w:val="Ttulo3"/>
        <w:numPr>
          <w:ilvl w:val="2"/>
          <w:numId w:val="20"/>
        </w:numPr>
        <w:spacing w:before="60" w:after="80" w:line="276" w:lineRule="auto"/>
        <w:jc w:val="left"/>
      </w:pPr>
      <w:r>
        <w:rPr>
          <w:rFonts w:ascii="Calibri" w:hAnsi="Calibri"/>
          <w:b/>
          <w:color w:val="000000"/>
          <w:sz w:val="22"/>
        </w:rPr>
        <w:t xml:space="preserve">Requisitos Funcionales</w:t>
      </w:r>
    </w:p>
    <w:p>
      <w:pPr>
        <w:spacing w:before="60" w:after="80" w:line="276" w:lineRule="auto"/>
        <w:jc w:val="both"/>
      </w:pPr>
      <w:r>
        <w:rPr>
          <w:rFonts w:ascii="Calibri" w:hAnsi="Calibri"/>
          <w:b w:val="0"/>
          <w:color w:val="000000"/>
          <w:sz w:val="22"/>
        </w:rPr>
        <w:t xml:space="preserve">Para el Sistema BanQuito se han identificado los siguientes requerimientos funcionales:</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15</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Especificación RQF-001: Verificar sujeto de crédito (CU-01)</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RQF-001</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Verificar sujeto de crédito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Recibe la cédula de una persona y verifica que sea cliente del banco, que tenga al menos un depósito en el último mes, que no sea menor de 25 años si es de género masculino y que no tenga un crédito activo.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Objetivo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OBJ-001</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Estabilidad</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Retorna si es sujeto de crédito, el código de cliente y, en caso negativo, el motivo del rechazo.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16</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Especificación RQF-002: Calcular monto máximo de crédito (CU-02)</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RQF-002</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Calcular monto máximo de crédito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Recibe el código de cliente, obtiene el promedio de depósitos y el promedio de retiros de los últimos tres meses y calcula ((PromDep − PromRet) × 30 %) × 6.</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Objetivo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OBJ-001</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Estabilidad</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Media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Si el resultado es negativo se retorna 0. El porcentaje está sujeto a confirmación (30 % o 35 %).</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17</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Especificación RQF-003: Otorgar crédito (CU-03)</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RQF-003</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Otorgar crédito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Recibe el código de cliente, el precio del teléfono y el número de cuotas; vuelve a aplicar las reglas de sujeto de crédito (RN-01 a RN-04) y, si el precio es menor o igual al monto máximo, aprueba el crédito, calcula la cuota fija y registra el crédito con todas las cuotas de su tabla de amortización.</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Objetivo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OBJ-002</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Estabilidad</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Plazo de 3 a 18 meses y tasa del 16,5 % anual. El registro es transaccional.</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18</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Especificación RQF-004: Consultar tabla de amortización (CU-04)</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RQF-004</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Consultar tabla de amortización</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Recibe el código de un crédito otorgado y retorna sus cuotas con el número de cuota, el valor de la cuota, el interés pagado, el capital pagado y el saldo.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Objetivo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OBJ-002</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Estabilidad</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Debe estar disponible en los cuatro clientes de la comercializadora.</w:t>
            </w:r>
          </w:p>
        </w:tc>
      </w:tr>
    </w:tbl>
    <w:p>
      <w:pPr>
        <w:spacing w:before="0" w:after="0"/>
      </w:pPr>
    </w:p>
    <w:p>
      <w:pPr>
        <w:pStyle w:val="Descripcin"/>
        <w:spacing w:before="60" w:after="80" w:line="276" w:lineRule="auto"/>
        <w:jc w:val="left"/>
        <w:rPr>
          <w:rFonts w:ascii="Calibri" w:hAnsi="Calibri"/>
          <w:b/>
          <w:color w:val="000000"/>
          <w:sz w:val="21"/>
        </w:rPr>
      </w:pPr>
      <w:r>
        <w:t>Tabla 19. Especificación RQF-005: Mantenimiento del catálogo de celulares (CRUD)</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r/>
            <w:r>
              <w:rPr>
                <w:rFonts w:ascii="Calibri" w:hAnsi="Calibri"/>
                <w:b/>
                <w:sz w:val="19"/>
              </w:rPr>
              <w:t>RQF-005</w:t>
            </w:r>
          </w:p>
        </w:tc>
        <w:tc>
          <w:tcPr>
            <w:tcW w:w="7331" w:type="dxa"/>
            <w:shd w:val="clear" w:color="auto" w:fill="1F4E79"/>
            <w:tcMar>
              <w:top w:w="80" w:type="dxa"/>
              <w:bottom w:w="80" w:type="dxa"/>
              <w:left w:w="120" w:type="dxa"/>
              <w:right w:w="120" w:type="dxa"/>
            </w:tcMar>
          </w:tcPr>
          <w:p>
            <w:pPr/>
            <w:r/>
            <w:r>
              <w:rPr>
                <w:rFonts w:ascii="Calibri" w:hAnsi="Calibri"/>
                <w:b/>
                <w:sz w:val="19"/>
              </w:rPr>
              <w:t>Mantenimiento del catálogo de celulares (CRUD completo)</w:t>
            </w:r>
          </w:p>
        </w:tc>
      </w:tr>
      <w:tr>
        <w:trPr>
          <w:cantSplit/>
        </w:trPr>
        <w:tc>
          <w:tcPr>
            <w:tcW w:w="2089" w:type="dxa"/>
            <w:shd w:val="clear" w:color="auto" w:fill="F2F4F8"/>
            <w:tcMar>
              <w:top w:w="80" w:type="dxa"/>
              <w:bottom w:w="80" w:type="dxa"/>
              <w:left w:w="120" w:type="dxa"/>
              <w:right w:w="120" w:type="dxa"/>
            </w:tcMar>
          </w:tcPr>
          <w:p>
            <w:pPr/>
            <w:r/>
            <w:r>
              <w:rPr>
                <w:rFonts w:ascii="Calibri" w:hAnsi="Calibri"/>
                <w:b w:val="0"/>
                <w:sz w:val="19"/>
              </w:rPr>
              <w:t>Descripción</w:t>
            </w:r>
          </w:p>
        </w:tc>
        <w:tc>
          <w:tcPr>
            <w:tcW w:w="7331" w:type="dxa"/>
            <w:shd w:val="clear" w:color="auto" w:fill="FFFFFF"/>
            <w:tcMar>
              <w:top w:w="80" w:type="dxa"/>
              <w:bottom w:w="80" w:type="dxa"/>
              <w:left w:w="120" w:type="dxa"/>
              <w:right w:w="120" w:type="dxa"/>
            </w:tcMar>
          </w:tcPr>
          <w:p>
            <w:pPr/>
            <w:r>
              <w:t>Permite al vendedor administrar el catálogo mediante operaciones CRUD: registrar nuevos teléfonos (Create), listar el catálogo completo o solo los teléfonos activos y consultar por código (Read), modificar datos o reactivar/desactivar (Update) y eliminar o aplicar borrado lógico (Delete) conservando marca, modelo y precio.</w:t>
            </w:r>
          </w:p>
        </w:tc>
      </w:tr>
      <w:tr>
        <w:trPr>
          <w:cantSplit/>
        </w:trPr>
        <w:tc>
          <w:tcPr>
            <w:tcW w:w="2089" w:type="dxa"/>
            <w:shd w:val="clear" w:color="auto" w:fill="F2F4F8"/>
            <w:tcMar>
              <w:top w:w="80" w:type="dxa"/>
              <w:bottom w:w="80" w:type="dxa"/>
              <w:left w:w="120" w:type="dxa"/>
              <w:right w:w="120" w:type="dxa"/>
            </w:tcMar>
          </w:tcPr>
          <w:p>
            <w:pPr/>
            <w:r/>
            <w:r>
              <w:rPr>
                <w:rFonts w:ascii="Calibri" w:hAnsi="Calibri"/>
                <w:b w:val="0"/>
                <w:sz w:val="19"/>
              </w:rPr>
              <w:t>Objetivo</w:t>
            </w:r>
          </w:p>
        </w:tc>
        <w:tc>
          <w:tcPr>
            <w:tcW w:w="7331" w:type="dxa"/>
            <w:shd w:val="clear" w:color="auto" w:fill="FFFFFF"/>
            <w:tcMar>
              <w:top w:w="80" w:type="dxa"/>
              <w:bottom w:w="80" w:type="dxa"/>
              <w:left w:w="120" w:type="dxa"/>
              <w:right w:w="120" w:type="dxa"/>
            </w:tcMar>
          </w:tcPr>
          <w:p>
            <w:pPr/>
            <w:r/>
            <w:r>
              <w:rPr>
                <w:rFonts w:ascii="Calibri" w:hAnsi="Calibri"/>
                <w:b w:val="0"/>
                <w:sz w:val="19"/>
              </w:rPr>
              <w:t>OBJ-003</w:t>
            </w:r>
          </w:p>
        </w:tc>
      </w:tr>
      <w:tr>
        <w:trPr>
          <w:cantSplit/>
        </w:trPr>
        <w:tc>
          <w:tcPr>
            <w:tcW w:w="2089" w:type="dxa"/>
            <w:shd w:val="clear" w:color="auto" w:fill="F2F4F8"/>
            <w:tcMar>
              <w:top w:w="80" w:type="dxa"/>
              <w:bottom w:w="80" w:type="dxa"/>
              <w:left w:w="120" w:type="dxa"/>
              <w:right w:w="120" w:type="dxa"/>
            </w:tcMar>
          </w:tcPr>
          <w:p>
            <w:pPr/>
            <w:r/>
            <w:r>
              <w:rPr>
                <w:rFonts w:ascii="Calibri" w:hAnsi="Calibri"/>
                <w:b w:val="0"/>
                <w:sz w:val="19"/>
              </w:rPr>
              <w:t>Importancia</w:t>
            </w:r>
          </w:p>
        </w:tc>
        <w:tc>
          <w:tcPr>
            <w:tcW w:w="7331" w:type="dxa"/>
            <w:shd w:val="clear" w:color="auto" w:fill="FFFFFF"/>
            <w:tcMar>
              <w:top w:w="80" w:type="dxa"/>
              <w:bottom w:w="80" w:type="dxa"/>
              <w:left w:w="120" w:type="dxa"/>
              <w:right w:w="120" w:type="dxa"/>
            </w:tcMar>
          </w:tcPr>
          <w:p>
            <w:pPr/>
            <w:r/>
            <w:r>
              <w:rPr>
                <w:rFonts w:ascii="Calibri" w:hAnsi="Calibri"/>
                <w:b w:val="0"/>
                <w:sz w:val="19"/>
              </w:rPr>
              <w:t>Alta</w:t>
            </w:r>
          </w:p>
        </w:tc>
      </w:tr>
      <w:tr>
        <w:trPr>
          <w:cantSplit/>
        </w:trPr>
        <w:tc>
          <w:tcPr>
            <w:tcW w:w="2089" w:type="dxa"/>
            <w:shd w:val="clear" w:color="auto" w:fill="F2F4F8"/>
            <w:tcMar>
              <w:top w:w="80" w:type="dxa"/>
              <w:bottom w:w="80" w:type="dxa"/>
              <w:left w:w="120" w:type="dxa"/>
              <w:right w:w="120" w:type="dxa"/>
            </w:tcMar>
          </w:tcPr>
          <w:p>
            <w:pPr/>
            <w:r/>
            <w:r>
              <w:rPr>
                <w:rFonts w:ascii="Calibri" w:hAnsi="Calibri"/>
                <w:b w:val="0"/>
                <w:sz w:val="19"/>
              </w:rPr>
              <w:t>Estado</w:t>
            </w:r>
          </w:p>
        </w:tc>
        <w:tc>
          <w:tcPr>
            <w:tcW w:w="7331" w:type="dxa"/>
            <w:shd w:val="clear" w:color="auto" w:fill="FFFFFF"/>
            <w:tcMar>
              <w:top w:w="80" w:type="dxa"/>
              <w:bottom w:w="80" w:type="dxa"/>
              <w:left w:w="120" w:type="dxa"/>
              <w:right w:w="120" w:type="dxa"/>
            </w:tcMar>
          </w:tcPr>
          <w:p>
            <w:pPr/>
            <w:r/>
            <w:r>
              <w:rPr>
                <w:rFonts w:ascii="Calibri" w:hAnsi="Calibri"/>
                <w:b w:val="0"/>
                <w:sz w:val="19"/>
              </w:rPr>
              <w:t>Aprobado</w:t>
            </w:r>
          </w:p>
        </w:tc>
      </w:tr>
      <w:tr>
        <w:trPr>
          <w:cantSplit/>
        </w:trPr>
        <w:tc>
          <w:tcPr>
            <w:tcW w:w="2089" w:type="dxa"/>
            <w:shd w:val="clear" w:color="auto" w:fill="F2F4F8"/>
            <w:tcMar>
              <w:top w:w="80" w:type="dxa"/>
              <w:bottom w:w="80" w:type="dxa"/>
              <w:left w:w="120" w:type="dxa"/>
              <w:right w:w="120" w:type="dxa"/>
            </w:tcMar>
          </w:tcPr>
          <w:p>
            <w:pPr/>
            <w:r/>
            <w:r>
              <w:rPr>
                <w:rFonts w:ascii="Calibri" w:hAnsi="Calibri"/>
                <w:b w:val="0"/>
                <w:sz w:val="19"/>
              </w:rPr>
              <w:t>Estabilidad</w:t>
            </w:r>
          </w:p>
        </w:tc>
        <w:tc>
          <w:tcPr>
            <w:tcW w:w="7331" w:type="dxa"/>
            <w:shd w:val="clear" w:color="auto" w:fill="FFFFFF"/>
            <w:tcMar>
              <w:top w:w="80" w:type="dxa"/>
              <w:bottom w:w="80" w:type="dxa"/>
              <w:left w:w="120" w:type="dxa"/>
              <w:right w:w="120" w:type="dxa"/>
            </w:tcMar>
          </w:tcPr>
          <w:p>
            <w:pPr/>
            <w:r/>
            <w:r>
              <w:rPr>
                <w:rFonts w:ascii="Calibri" w:hAnsi="Calibri"/>
                <w:b w:val="0"/>
                <w:sz w:val="19"/>
              </w:rPr>
              <w:t>Alta</w:t>
            </w:r>
          </w:p>
        </w:tc>
      </w:tr>
      <w:tr>
        <w:trPr>
          <w:cantSplit/>
        </w:trPr>
        <w:tc>
          <w:tcPr>
            <w:tcW w:w="2089" w:type="dxa"/>
            <w:shd w:val="clear" w:color="auto" w:fill="F2F4F8"/>
            <w:tcMar>
              <w:top w:w="80" w:type="dxa"/>
              <w:bottom w:w="80" w:type="dxa"/>
              <w:left w:w="120" w:type="dxa"/>
              <w:right w:w="120" w:type="dxa"/>
            </w:tcMar>
          </w:tcPr>
          <w:p>
            <w:pPr/>
            <w:r/>
            <w:r>
              <w:rPr>
                <w:rFonts w:ascii="Calibri" w:hAnsi="Calibri"/>
                <w:b w:val="0"/>
                <w:sz w:val="19"/>
              </w:rPr>
              <w:t>Comentarios</w:t>
            </w:r>
          </w:p>
        </w:tc>
        <w:tc>
          <w:tcPr>
            <w:tcW w:w="7331" w:type="dxa"/>
            <w:shd w:val="clear" w:color="auto" w:fill="FFFFFF"/>
            <w:tcMar>
              <w:top w:w="80" w:type="dxa"/>
              <w:bottom w:w="80" w:type="dxa"/>
              <w:left w:w="120" w:type="dxa"/>
              <w:right w:w="120" w:type="dxa"/>
            </w:tcMar>
          </w:tcPr>
          <w:p>
            <w:pPr/>
            <w:r/>
            <w:r>
              <w:rPr>
                <w:rFonts w:ascii="Calibri" w:hAnsi="Calibri"/>
                <w:b w:val="0"/>
                <w:sz w:val="19"/>
              </w:rPr>
              <w:t>No se controla inventario. Si el teléfono posee facturas asociadas en DETALLE_FACTURA, se aplica borrado lógico (activo = 0) para mantener la integridad referencial; si no tiene ventas registradas, se permite la eliminación física del registro.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20</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Especificación RQF-006: Facturar con pago en efectivo (CU-06)</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RQF-006</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Facturar con pago en efectivo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Registra la factura de la venta de un teléfono pagado en efectivo, con la cantidad indicada, aplicando un descuento del 42 % sobre el precio de venta.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Objetivo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OBJ-003</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Estabilidad</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No requiere invocar al banco.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21</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Especificación RQF-007: Facturar con crédito directo (CU-07)</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RQF-007</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Facturar con crédito directo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Con la cédula del comprador y el plazo elegido, invoca al Core para verificar el sujeto de crédito y el monto máximo; si el precio cabe en el monto, solicita el crédito y registra la factura con el código del crédito otorgado.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Objetivo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OBJ-003</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Estabilidad</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Si el banco rechaza el crédito, no se registra la factura y se muestra el motivo.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22</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Especificación RQF-008: Consultar amortización desde la comercializadora (CU-08)</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RQF-008</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Consultar amortización desde la comercializadora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A partir del número de una factura con crédito directo, obtiene del Core y muestra la tabla de amortización del préstamo del cliente.</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Objetivo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OBJ-003</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Estabilidad</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Comentarios</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Disponible en los cuatro clientes. Si la factura se pagó en efectivo, se informa que no tiene tabla de amortización (VAL-001).</w:t>
            </w:r>
          </w:p>
        </w:tc>
      </w:tr>
    </w:tbl>
    <w:p>
      <w:pPr>
        <w:spacing w:before="0" w:after="0"/>
      </w:pPr>
    </w:p>
    <w:p>
      <w:pPr>
        <w:pStyle w:val="Ttulo2"/>
        <w:numPr>
          <w:ilvl w:val="1"/>
          <w:numId w:val="20"/>
        </w:numPr>
        <w:spacing w:before="60" w:after="80" w:line="276" w:lineRule="auto"/>
        <w:jc w:val="left"/>
      </w:pPr>
      <w:r>
        <w:rPr>
          <w:rFonts w:ascii="Calibri" w:hAnsi="Calibri"/>
          <w:b/>
          <w:color w:val="000000"/>
          <w:sz w:val="22"/>
        </w:rPr>
        <w:t xml:space="preserve">Requisitos No Funcionales</w:t>
      </w:r>
    </w:p>
    <w:p>
      <w:pPr>
        <w:pStyle w:val="Ttulo3"/>
        <w:numPr>
          <w:ilvl w:val="2"/>
          <w:numId w:val="20"/>
        </w:numPr>
        <w:spacing w:before="60" w:after="80" w:line="276" w:lineRule="auto"/>
        <w:jc w:val="left"/>
      </w:pPr>
      <w:r>
        <w:rPr>
          <w:rFonts w:ascii="Calibri" w:hAnsi="Calibri"/>
          <w:b/>
          <w:color w:val="000000"/>
          <w:sz w:val="22"/>
        </w:rPr>
        <w:t xml:space="preserve">Objetivo General</w:t>
      </w:r>
    </w:p>
    <w:p>
      <w:pPr>
        <w:spacing w:before="60" w:after="80" w:line="276" w:lineRule="auto"/>
        <w:jc w:val="both"/>
      </w:pPr>
      <w:r>
        <w:rPr>
          <w:rFonts w:ascii="Calibri" w:hAnsi="Calibri"/>
          <w:b w:val="0"/>
          <w:color w:val="000000"/>
          <w:sz w:val="22"/>
        </w:rPr>
        <w:t xml:space="preserve">Para el Sistema BanQuito se han identificado los siguientes requerimientos no funcionales en relación con la arquitectura, las tecnologías, la persistencia y la calidad del software.</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23</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Requerimiento No Funcional RNF-001: Protocolo de arquitectura (SOAP / JAX-WS)</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RNF-001</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Protocolo de arquitectura (SOAP)</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Ambos servidores deben exponer sus operaciones mediante servicios web SOAP con contratos WSDL publicados.</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24</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Requerimiento No Funcional RNF-002: Lenguaje y especificación (Java JDK 21 / Jakarta EE 10)</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RNF-002</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Lenguaje y especificación</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Los servidores y los clientes Java deben desarrollarse con Java JDK 21 y la especificación Jakarta EE 10, en proyectos Maven construidos con NetBeans.</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25</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Requerimiento No Funcional RNF-003: Servidor de aplicaciones (Payara Server 7)</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RNF-003</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Servidor de aplicaciones</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WS_BanQuito_SOAP y WS_Comercializadora_SOAP deben desplegarse como dos aplicaciones web independientes en Payara Server 7.</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26</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Requerimiento No Funcional RNF-004: Persistencia en MySQL</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RNF-004</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Persistencia en MySQL</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Cada aplicación debe persistir sus datos en su propio esquema MySQL (banquito y comercializadora) con integridad referencial, accediendo mediante JDBC con consultas parametrizadas.</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27</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Requerimiento No Funcional RNF-005: Integridad transaccional</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RNF-005</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Integridad transaccional</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El registro del crédito y de todas sus cuotas, así como el de una factura y su detalle, deben ejecutarse en una sola transacción: se confirman por completo o no se registra nada.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28</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Requerimiento No Funcional RNF-006: Precisión monetaria</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RNF-006</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Precisión monetaria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Los valores monetarios se almacenan como DECIMAL(12,2) (los precios del catálogo, como DECIMAL(10,2)) y se calculan con BigDecimal redondeando a dos decimales (HALF_UP) en cada cuota; la última cuota ajusta el residuo para que el saldo final sea 0,00.</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29</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Requerimiento No Funcional RNF-007: Interoperabilidad multicanal</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RNF-007</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Interoperabilidad multicanal (Consola, Escritorio, Web y Móvil)</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El servicio de la comercializadora debe ser consumido de forma uniforme por los cuatro clientes, que presentan los mismos resultados ante los mismos datos sin duplicar la lógica de negocio.</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Alta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30</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Requerimiento No Funcional RNF-008: Usabilidad</w:t>
      </w:r>
    </w:p>
    <w:tbl>
      <w:tblPr>
        <w:tblStyle w:val="Tablaconcuadrcula4-nfasis1"/>
        <w:tblW w:w="9420" w:type="dxa"/>
        <w:jc w:val="center"/>
        <w:tblLayout w:type="fixed"/>
        <w:tblLook w:val="04A0" w:firstRow="1" w:lastRow="0" w:firstColumn="1" w:lastColumn="0" w:noHBand="0" w:noVBand="1"/>
      </w:tblPr>
      <w:tblGrid>
        <w:gridCol w:w="2089"/>
        <w:gridCol w:w="7331"/>
      </w:tblGrid>
      <w:tr>
        <w:trPr>
          <w:cantSplit/>
          <w:tblHeader/>
        </w:trPr>
        <w:tc>
          <w:tcPr>
            <w:tcW w:w="2089"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RNF-008</w:t>
            </w:r>
          </w:p>
        </w:tc>
        <w:tc>
          <w:tcPr>
            <w:tcW w:w="7331" w:type="dxa"/>
            <w:shd w:val="clear" w:color="auto" w:fill="1F4E79"/>
            <w:tcMar>
              <w:top w:w="80" w:type="dxa"/>
              <w:bottom w:w="80" w:type="dxa"/>
              <w:left w:w="120" w:type="dxa"/>
              <w:right w:w="120" w:type="dxa"/>
            </w:tcMar>
          </w:tcPr>
          <w:p>
            <w:pPr>
              <w:spacing w:before="0" w:after="0"/>
              <w:jc w:val="left"/>
            </w:pPr>
            <w:r>
              <w:rPr>
                <w:rFonts w:ascii="Calibri" w:hAnsi="Calibri" w:cs="Calibri"/>
                <w:b/>
                <w:color w:val="FFFFFF"/>
                <w:sz w:val="19"/>
              </w:rPr>
              <w:t xml:space="preserve">Usabilidad</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Descripción</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Las interfaces gráficas deben mantener una misma línea visual, validar los campos numéricos antes de enviarlos y mostrar mensajes de error comprensibles para el vendedor.</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Importancia</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Media</w:t>
            </w:r>
          </w:p>
        </w:tc>
      </w:tr>
      <w:tr>
        <w:trPr>
          <w:cantSplit/>
        </w:trPr>
        <w:tc>
          <w:tcPr>
            <w:tcW w:w="2089" w:type="dxa"/>
            <w:shd w:val="clear" w:color="auto" w:fill="F2F4F8"/>
            <w:tcMar>
              <w:top w:w="80" w:type="dxa"/>
              <w:bottom w:w="80" w:type="dxa"/>
              <w:left w:w="120" w:type="dxa"/>
              <w:right w:w="120" w:type="dxa"/>
            </w:tcMar>
          </w:tcPr>
          <w:p>
            <w:pPr>
              <w:spacing w:before="0" w:after="0"/>
              <w:jc w:val="left"/>
            </w:pPr>
            <w:r>
              <w:rPr>
                <w:rFonts w:ascii="Calibri" w:hAnsi="Calibri" w:cs="Calibri"/>
                <w:b/>
                <w:color w:val="000000"/>
                <w:sz w:val="19"/>
              </w:rPr>
              <w:t xml:space="preserve">Estado</w:t>
            </w:r>
          </w:p>
        </w:tc>
        <w:tc>
          <w:tcPr>
            <w:tcW w:w="7331"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Aprobado</w:t>
            </w:r>
          </w:p>
        </w:tc>
      </w:tr>
    </w:tbl>
    <w:p>
      <w:pPr>
        <w:spacing w:before="0" w:after="0"/>
      </w:pPr>
    </w:p>
    <w:p>
      <w:pPr>
        <w:pStyle w:val="Prrafodelista"/>
        <w:numPr>
          <w:ilvl w:val="0"/>
          <w:numId w:val="34"/>
        </w:numPr>
        <w:spacing w:before="60" w:after="80" w:line="276" w:lineRule="auto"/>
        <w:jc w:val="both"/>
      </w:pPr>
      <w:r>
        <w:rPr>
          <w:rFonts w:ascii="Calibri" w:hAnsi="Calibri"/>
          <w:b w:val="0"/>
          <w:color w:val="000000"/>
          <w:sz w:val="22"/>
        </w:rPr>
        <w:t xml:space="preserve">El sistema emitirá mensajes de alerta cuando el usuario envíe datos erróneos.</w:t>
      </w:r>
    </w:p>
    <w:p>
      <w:pPr>
        <w:pStyle w:val="Prrafodelista"/>
        <w:numPr>
          <w:ilvl w:val="0"/>
          <w:numId w:val="34"/>
        </w:numPr>
        <w:spacing w:before="60" w:after="80" w:line="276" w:lineRule="auto"/>
        <w:jc w:val="both"/>
      </w:pPr>
      <w:r>
        <w:rPr>
          <w:rFonts w:ascii="Calibri" w:hAnsi="Calibri"/>
          <w:b w:val="0"/>
          <w:color w:val="000000"/>
          <w:sz w:val="22"/>
        </w:rPr>
        <w:t xml:space="preserve">El sistema emitirá mensajes de confirmación con el número de factura y los valores cobrados.</w:t>
      </w:r>
    </w:p>
    <w:p>
      <w:pPr>
        <w:pStyle w:val="Prrafodelista"/>
        <w:numPr>
          <w:ilvl w:val="0"/>
          <w:numId w:val="34"/>
        </w:numPr>
        <w:spacing w:before="60" w:after="80" w:line="276" w:lineRule="auto"/>
        <w:jc w:val="both"/>
      </w:pPr>
      <w:r>
        <w:rPr>
          <w:rFonts w:ascii="Calibri" w:hAnsi="Calibri"/>
          <w:b w:val="0"/>
          <w:color w:val="000000"/>
          <w:sz w:val="22"/>
        </w:rPr>
        <w:t xml:space="preserve">El sistema mostrará el motivo cuando el banco rechace un crédito.</w:t>
      </w:r>
    </w:p>
    <w:p>
      <w:pPr>
        <w:pStyle w:val="Prrafodelista"/>
        <w:numPr>
          <w:ilvl w:val="0"/>
          <w:numId w:val="34"/>
        </w:numPr>
        <w:spacing w:before="60" w:after="80" w:line="276" w:lineRule="auto"/>
        <w:jc w:val="both"/>
      </w:pPr>
      <w:r>
        <w:rPr>
          <w:rFonts w:ascii="Calibri" w:hAnsi="Calibri"/>
          <w:b w:val="0"/>
          <w:color w:val="000000"/>
          <w:sz w:val="22"/>
        </w:rPr>
        <w:t xml:space="preserve">Los servidores atenderán peticiones concurrentes de todos los clientes conectados.</w:t>
      </w:r>
    </w:p>
    <w:p>
      <w:pPr>
        <w:pStyle w:val="Ttulo2"/>
        <w:numPr>
          <w:ilvl w:val="1"/>
          <w:numId w:val="20"/>
        </w:numPr>
        <w:spacing w:before="60" w:after="80" w:line="276" w:lineRule="auto"/>
        <w:jc w:val="left"/>
      </w:pPr>
      <w:r>
        <w:rPr>
          <w:rFonts w:ascii="Calibri" w:hAnsi="Calibri"/>
          <w:b/>
          <w:color w:val="000000"/>
          <w:sz w:val="22"/>
        </w:rPr>
        <w:t xml:space="preserve">Otros Requerimientos</w:t>
      </w:r>
    </w:p>
    <w:p>
      <w:pPr>
        <w:pStyle w:val="Ttulo3"/>
        <w:numPr>
          <w:ilvl w:val="2"/>
          <w:numId w:val="20"/>
        </w:numPr>
        <w:spacing w:before="60" w:after="80" w:line="276" w:lineRule="auto"/>
        <w:jc w:val="left"/>
      </w:pPr>
      <w:r>
        <w:rPr>
          <w:rFonts w:ascii="Calibri" w:hAnsi="Calibri"/>
          <w:b/>
          <w:color w:val="000000"/>
          <w:sz w:val="22"/>
        </w:rPr>
        <w:t xml:space="preserve">Restricciones de Diseño</w:t>
      </w:r>
    </w:p>
    <w:p>
      <w:pPr>
        <w:pStyle w:val="Prrafodelista"/>
        <w:numPr>
          <w:ilvl w:val="0"/>
          <w:numId w:val="34"/>
        </w:numPr>
        <w:spacing w:before="60" w:after="80" w:line="276" w:lineRule="auto"/>
        <w:jc w:val="both"/>
      </w:pPr>
      <w:r>
        <w:rPr>
          <w:rFonts w:ascii="Calibri" w:hAnsi="Calibri"/>
          <w:b w:val="0"/>
          <w:color w:val="000000"/>
          <w:sz w:val="22"/>
        </w:rPr>
        <w:t xml:space="preserve">Las aplicaciones siguen el patrón Modelo-Vista-Controlador y separan la capa de acceso a datos de la lógica de negocio.</w:t>
      </w:r>
    </w:p>
    <w:p>
      <w:pPr>
        <w:pStyle w:val="Prrafodelista"/>
        <w:numPr>
          <w:ilvl w:val="0"/>
          <w:numId w:val="34"/>
        </w:numPr>
        <w:spacing w:before="60" w:after="80" w:line="276" w:lineRule="auto"/>
        <w:jc w:val="both"/>
      </w:pPr>
      <w:r>
        <w:rPr>
          <w:rFonts w:ascii="Calibri" w:hAnsi="Calibri"/>
          <w:b w:val="0"/>
          <w:color w:val="000000"/>
          <w:sz w:val="22"/>
        </w:rPr>
        <w:t xml:space="preserve">La comercializadora no accede a la base de datos del banco; toda la información de crédito se obtiene mediante los servicios del Core.</w:t>
      </w:r>
    </w:p>
    <w:p>
      <w:pPr>
        <w:pStyle w:val="Prrafodelista"/>
        <w:numPr>
          <w:ilvl w:val="0"/>
          <w:numId w:val="34"/>
        </w:numPr>
        <w:spacing w:before="60" w:after="80" w:line="276" w:lineRule="auto"/>
        <w:jc w:val="both"/>
      </w:pPr>
      <w:r>
        <w:rPr>
          <w:rFonts w:ascii="Calibri" w:hAnsi="Calibri"/>
          <w:b w:val="0"/>
          <w:color w:val="000000"/>
          <w:sz w:val="22"/>
        </w:rPr>
        <w:t xml:space="preserve">Los clientes con interfaz gráfica (web, móvil y escritorio) mantienen una misma paleta de colores y distribución visual.</w:t>
      </w:r>
    </w:p>
    <w:p>
      <w:pPr>
        <w:pStyle w:val="Prrafodelista"/>
        <w:numPr>
          <w:ilvl w:val="0"/>
          <w:numId w:val="34"/>
        </w:numPr>
        <w:spacing w:before="60" w:after="80" w:line="276" w:lineRule="auto"/>
        <w:jc w:val="both"/>
      </w:pPr>
      <w:r>
        <w:rPr>
          <w:rFonts w:ascii="Calibri" w:hAnsi="Calibri"/>
          <w:b w:val="0"/>
          <w:color w:val="000000"/>
          <w:sz w:val="22"/>
        </w:rPr>
        <w:t xml:space="preserve">El cliente de consola opera mediante menús de texto, priorizando la claridad de los menús y de los resultados.</w:t>
      </w:r>
    </w:p>
    <w:p>
      <w:pPr>
        <w:pStyle w:val="Ttulo3"/>
        <w:numPr>
          <w:ilvl w:val="2"/>
          <w:numId w:val="20"/>
        </w:numPr>
        <w:spacing w:before="60" w:after="80" w:line="276" w:lineRule="auto"/>
        <w:jc w:val="left"/>
      </w:pPr>
      <w:r>
        <w:rPr>
          <w:rFonts w:ascii="Calibri" w:hAnsi="Calibri"/>
          <w:b/>
          <w:color w:val="000000"/>
          <w:sz w:val="22"/>
        </w:rPr>
        <w:t xml:space="preserve">Restricciones de Hardware</w:t>
      </w:r>
    </w:p>
    <w:p>
      <w:pPr>
        <w:pStyle w:val="Prrafodelista"/>
        <w:numPr>
          <w:ilvl w:val="0"/>
          <w:numId w:val="34"/>
        </w:numPr>
        <w:spacing w:before="60" w:after="80" w:line="276" w:lineRule="auto"/>
        <w:jc w:val="both"/>
      </w:pPr>
      <w:r>
        <w:rPr>
          <w:rFonts w:ascii="Calibri" w:hAnsi="Calibri"/>
          <w:b w:val="0"/>
          <w:color w:val="000000"/>
          <w:sz w:val="22"/>
        </w:rPr>
        <w:t xml:space="preserve">Procesador Intel Core i3 o superior.</w:t>
      </w:r>
    </w:p>
    <w:p>
      <w:pPr>
        <w:pStyle w:val="Prrafodelista"/>
        <w:numPr>
          <w:ilvl w:val="0"/>
          <w:numId w:val="34"/>
        </w:numPr>
        <w:spacing w:before="60" w:after="80" w:line="276" w:lineRule="auto"/>
        <w:jc w:val="both"/>
      </w:pPr>
      <w:r>
        <w:rPr>
          <w:rFonts w:ascii="Calibri" w:hAnsi="Calibri"/>
          <w:b w:val="0"/>
          <w:color w:val="000000"/>
          <w:sz w:val="22"/>
        </w:rPr>
        <w:t xml:space="preserve">8 GB de RAM o superior.</w:t>
      </w:r>
    </w:p>
    <w:p>
      <w:pPr>
        <w:pStyle w:val="Prrafodelista"/>
        <w:numPr>
          <w:ilvl w:val="0"/>
          <w:numId w:val="34"/>
        </w:numPr>
        <w:spacing w:before="60" w:after="80" w:line="276" w:lineRule="auto"/>
        <w:jc w:val="both"/>
      </w:pPr>
      <w:r>
        <w:rPr>
          <w:rFonts w:ascii="Calibri" w:hAnsi="Calibri"/>
          <w:b w:val="0"/>
          <w:color w:val="000000"/>
          <w:sz w:val="22"/>
        </w:rPr>
        <w:t xml:space="preserve">Disco de 256 GB o superior.</w:t>
      </w:r>
    </w:p>
    <w:p>
      <w:pPr>
        <w:pStyle w:val="Prrafodelista"/>
        <w:numPr>
          <w:ilvl w:val="0"/>
          <w:numId w:val="34"/>
        </w:numPr>
        <w:spacing w:before="60" w:after="80" w:line="276" w:lineRule="auto"/>
        <w:jc w:val="both"/>
      </w:pPr>
      <w:r>
        <w:rPr>
          <w:rFonts w:ascii="Calibri" w:hAnsi="Calibri"/>
          <w:b w:val="0"/>
          <w:color w:val="000000"/>
          <w:sz w:val="22"/>
        </w:rPr>
        <w:t xml:space="preserve">Sistema operativo Windows 11, Linux o Android.</w:t>
      </w:r>
    </w:p>
    <w:p>
      <w:pPr>
        <w:pStyle w:val="Ttulo3"/>
        <w:numPr>
          <w:ilvl w:val="2"/>
          <w:numId w:val="20"/>
        </w:numPr>
        <w:spacing w:before="60" w:after="80" w:line="276" w:lineRule="auto"/>
        <w:jc w:val="left"/>
      </w:pPr>
      <w:r>
        <w:rPr>
          <w:rFonts w:ascii="Calibri" w:hAnsi="Calibri"/>
          <w:b/>
          <w:color w:val="000000"/>
          <w:sz w:val="22"/>
        </w:rPr>
        <w:t xml:space="preserve">Atributos de calidad</w:t>
      </w:r>
    </w:p>
    <w:p>
      <w:pPr>
        <w:spacing w:before="60" w:after="80" w:line="276" w:lineRule="auto"/>
        <w:jc w:val="both"/>
      </w:pPr>
      <w:r>
        <w:rPr>
          <w:rFonts w:ascii="Calibri" w:hAnsi="Calibri"/>
          <w:b/>
          <w:color w:val="000000"/>
          <w:sz w:val="22"/>
        </w:rPr>
        <w:t xml:space="preserve">Fiabilidad.</w:t>
      </w:r>
      <w:r>
        <w:rPr>
          <w:rFonts w:ascii="Calibri" w:hAnsi="Calibri"/>
          <w:b w:val="0"/>
          <w:color w:val="000000"/>
          <w:sz w:val="22"/>
        </w:rPr>
        <w:t xml:space="preserve"> El sistema calculará correctamente el monto máximo y la tabla de amortización, coincidiendo con la función PAGO de Excel.</w:t>
      </w:r>
    </w:p>
    <w:p>
      <w:pPr>
        <w:spacing w:before="60" w:after="80" w:line="276" w:lineRule="auto"/>
        <w:jc w:val="both"/>
      </w:pPr>
      <w:r>
        <w:rPr>
          <w:rFonts w:ascii="Calibri" w:hAnsi="Calibri"/>
          <w:b/>
          <w:color w:val="000000"/>
          <w:sz w:val="22"/>
        </w:rPr>
        <w:t xml:space="preserve">Integridad.</w:t>
      </w:r>
      <w:r>
        <w:rPr>
          <w:rFonts w:ascii="Calibri" w:hAnsi="Calibri"/>
          <w:b w:val="0"/>
          <w:color w:val="000000"/>
          <w:sz w:val="22"/>
        </w:rPr>
        <w:t xml:space="preserve"> Las transacciones del crédito y de la factura se confirman por completo o se revierten.</w:t>
      </w:r>
    </w:p>
    <w:p>
      <w:pPr>
        <w:spacing w:before="60" w:after="80" w:line="276" w:lineRule="auto"/>
        <w:jc w:val="both"/>
      </w:pPr>
      <w:r>
        <w:rPr>
          <w:rFonts w:ascii="Calibri" w:hAnsi="Calibri"/>
          <w:b/>
          <w:color w:val="000000"/>
          <w:sz w:val="22"/>
        </w:rPr>
        <w:t xml:space="preserve">Portabilidad.</w:t>
      </w:r>
      <w:r>
        <w:rPr>
          <w:rFonts w:ascii="Calibri" w:hAnsi="Calibri"/>
          <w:b w:val="0"/>
          <w:color w:val="000000"/>
          <w:sz w:val="22"/>
        </w:rPr>
        <w:t xml:space="preserve"> Al exponer servicios SOAP, cualquier cliente puede consumirlos mediante mensajes XML, independientemente de su lenguaje.</w:t>
      </w:r>
    </w:p>
    <w:p>
      <w:pPr>
        <w:spacing w:before="60" w:after="80" w:line="276" w:lineRule="auto"/>
        <w:jc w:val="both"/>
      </w:pPr>
      <w:r>
        <w:rPr>
          <w:rFonts w:ascii="Calibri" w:hAnsi="Calibri"/>
          <w:b/>
          <w:color w:val="000000"/>
          <w:sz w:val="22"/>
        </w:rPr>
        <w:t xml:space="preserve">Seguridad.</w:t>
      </w:r>
      <w:r>
        <w:rPr>
          <w:rFonts w:ascii="Calibri" w:hAnsi="Calibri"/>
          <w:b w:val="0"/>
          <w:color w:val="000000"/>
          <w:sz w:val="22"/>
        </w:rPr>
        <w:t xml:space="preserve"> Las entradas se validan en el servidor y las consultas a la base de datos son parametrizadas para evitar inyección SQL.</w:t>
      </w:r>
    </w:p>
    <w:p>
      <w:pPr>
        <w:spacing w:before="60" w:after="80" w:line="276" w:lineRule="auto"/>
        <w:jc w:val="both"/>
      </w:pPr>
      <w:r>
        <w:rPr>
          <w:rFonts w:ascii="Calibri" w:hAnsi="Calibri"/>
          <w:b/>
          <w:color w:val="000000"/>
          <w:sz w:val="22"/>
        </w:rPr>
        <w:t xml:space="preserve">Disponibilidad.</w:t>
      </w:r>
      <w:r>
        <w:rPr>
          <w:rFonts w:ascii="Calibri" w:hAnsi="Calibri"/>
          <w:b w:val="0"/>
          <w:color w:val="000000"/>
          <w:sz w:val="22"/>
        </w:rPr>
        <w:t xml:space="preserve"> Los servicios estarán disponibles mientras los servidores de aplicaciones y de base de datos estén en ejecución.</w:t>
      </w:r>
    </w:p>
    <w:p>
      <w:r>
        <w:br w:type="page"/>
      </w:r>
    </w:p>
    <w:p>
      <w:pPr>
        <w:pStyle w:val="Ttulo1"/>
        <w:numPr>
          <w:ilvl w:val="0"/>
          <w:numId w:val="20"/>
        </w:numPr>
        <w:spacing w:before="60" w:after="80" w:line="276" w:lineRule="auto"/>
        <w:jc w:val="left"/>
      </w:pPr>
      <w:r>
        <w:rPr>
          <w:rFonts w:ascii="Calibri" w:hAnsi="Calibri"/>
          <w:b/>
          <w:color w:val="000000"/>
          <w:sz w:val="24"/>
        </w:rPr>
        <w:t xml:space="preserve">REQUISITOS DE INTERFACES EXTERNAS</w:t>
      </w:r>
    </w:p>
    <w:p>
      <w:pPr>
        <w:pStyle w:val="Ttulo2"/>
        <w:numPr>
          <w:ilvl w:val="1"/>
          <w:numId w:val="20"/>
        </w:numPr>
        <w:spacing w:before="60" w:after="80" w:line="276" w:lineRule="auto"/>
        <w:jc w:val="left"/>
      </w:pPr>
      <w:r>
        <w:rPr>
          <w:rFonts w:ascii="Calibri" w:hAnsi="Calibri"/>
          <w:b/>
          <w:color w:val="000000"/>
          <w:sz w:val="22"/>
        </w:rPr>
        <w:t xml:space="preserve">Interfaces de Usuario de los Cuatro Clientes</w:t>
      </w:r>
    </w:p>
    <w:p>
      <w:pPr>
        <w:spacing w:before="60" w:after="80" w:line="276" w:lineRule="auto"/>
        <w:jc w:val="both"/>
      </w:pPr>
      <w:r>
        <w:rPr>
          <w:rFonts w:ascii="Calibri" w:hAnsi="Calibri"/>
          <w:b w:val="0"/>
          <w:color w:val="000000"/>
          <w:sz w:val="22"/>
        </w:rPr>
        <w:t xml:space="preserve">Las interfaces se dividen según su entorno de ejecución:</w:t>
      </w:r>
    </w:p>
    <w:p>
      <w:pPr>
        <w:pStyle w:val="Prrafodelista"/>
        <w:numPr>
          <w:ilvl w:val="0"/>
          <w:numId w:val="34"/>
        </w:numPr>
        <w:spacing w:before="60" w:after="80" w:line="276" w:lineRule="auto"/>
        <w:jc w:val="both"/>
      </w:pPr>
      <w:r>
        <w:rPr>
          <w:rFonts w:ascii="Calibri" w:hAnsi="Calibri"/>
          <w:b/>
          <w:color w:val="000000"/>
          <w:sz w:val="22"/>
        </w:rPr>
        <w:t xml:space="preserve">Clientes con interfaz gráfica (Web, Móvil y Escritorio):</w:t>
      </w:r>
      <w:r>
        <w:rPr>
          <w:rFonts w:ascii="Calibri" w:hAnsi="Calibri"/>
          <w:b w:val="0"/>
          <w:color w:val="000000"/>
          <w:sz w:val="22"/>
        </w:rPr>
        <w:t xml:space="preserve"> listas para elegir el teléfono y la forma de pago, campos para la cédula y el plazo, botones de acción y tablas para mostrar la factura y la amortización.</w:t>
      </w:r>
    </w:p>
    <w:p>
      <w:pPr>
        <w:pStyle w:val="Prrafodelista"/>
        <w:numPr>
          <w:ilvl w:val="0"/>
          <w:numId w:val="34"/>
        </w:numPr>
        <w:spacing w:before="60" w:after="80" w:line="276" w:lineRule="auto"/>
        <w:jc w:val="both"/>
      </w:pPr>
      <w:r>
        <w:rPr>
          <w:rFonts w:ascii="Calibri" w:hAnsi="Calibri"/>
          <w:b/>
          <w:color w:val="000000"/>
          <w:sz w:val="22"/>
        </w:rPr>
        <w:t xml:space="preserve">Cliente de consola:</w:t>
      </w:r>
      <w:r>
        <w:rPr>
          <w:rFonts w:ascii="Calibri" w:hAnsi="Calibri"/>
          <w:b w:val="0"/>
          <w:color w:val="000000"/>
          <w:sz w:val="22"/>
        </w:rPr>
        <w:t xml:space="preserve"> menús numéricos para el catálogo, la facturación y la consulta de la amortización.</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31</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Comparativa técnica de los cuatro clientes</w:t>
      </w:r>
    </w:p>
    <w:tbl>
      <w:tblPr>
        <w:tblStyle w:val="Tablaconcuadrcula4-nfasis1"/>
        <w:tblW w:w="9420" w:type="dxa"/>
        <w:jc w:val="center"/>
        <w:tblLayout w:type="fixed"/>
        <w:tblLook w:val="04A0" w:firstRow="1" w:lastRow="0" w:firstColumn="1" w:lastColumn="0" w:noHBand="0" w:noVBand="1"/>
      </w:tblPr>
      <w:tblGrid>
        <w:gridCol w:w="1695"/>
        <w:gridCol w:w="2072"/>
        <w:gridCol w:w="1884"/>
        <w:gridCol w:w="1884"/>
        <w:gridCol w:w="1885"/>
      </w:tblGrid>
      <w:tr>
        <w:trPr>
          <w:cantSplit/>
          <w:tblHeader/>
        </w:trPr>
        <w:tc>
          <w:tcPr>
            <w:tcW w:w="1695"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Canal cliente</w:t>
            </w:r>
          </w:p>
        </w:tc>
        <w:tc>
          <w:tcPr>
            <w:tcW w:w="2072"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Tecnología base</w:t>
            </w:r>
          </w:p>
        </w:tc>
        <w:tc>
          <w:tcPr>
            <w:tcW w:w="1884"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Patrón de diseño</w:t>
            </w:r>
          </w:p>
        </w:tc>
        <w:tc>
          <w:tcPr>
            <w:tcW w:w="1884"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Integración SOAP</w:t>
            </w:r>
          </w:p>
        </w:tc>
        <w:tc>
          <w:tcPr>
            <w:tcW w:w="1885"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Proyecto</w:t>
            </w:r>
          </w:p>
        </w:tc>
      </w:tr>
      <w:tr>
        <w:trPr>
          <w:cantSplit/>
        </w:trPr>
        <w:tc>
          <w:tcPr>
            <w:tcW w:w="1695"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Consola (CLICON)</w:t>
            </w:r>
          </w:p>
        </w:tc>
        <w:tc>
          <w:tcPr>
            <w:tcW w:w="207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Java JDK 21 (CLI)</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MVC textual</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JAX-WS Client / HTTP</w:t>
            </w:r>
          </w:p>
        </w:tc>
        <w:tc>
          <w:tcPr>
            <w:tcW w:w="188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Celulares_CliCon_GR8</w:t>
            </w:r>
          </w:p>
        </w:tc>
      </w:tr>
      <w:tr>
        <w:trPr>
          <w:cantSplit/>
        </w:trPr>
        <w:tc>
          <w:tcPr>
            <w:tcW w:w="1695"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Escritorio (CLIESC)</w:t>
            </w:r>
          </w:p>
        </w:tc>
        <w:tc>
          <w:tcPr>
            <w:tcW w:w="207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Java Swing</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MVC de escritorio</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JAX-WS Client / HTTP</w:t>
            </w:r>
          </w:p>
        </w:tc>
        <w:tc>
          <w:tcPr>
            <w:tcW w:w="188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Celulares_CliEsc_GR8</w:t>
            </w:r>
          </w:p>
        </w:tc>
      </w:tr>
      <w:tr>
        <w:trPr>
          <w:cantSplit/>
        </w:trPr>
        <w:tc>
          <w:tcPr>
            <w:tcW w:w="1695"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Web (CLIWEB)</w:t>
            </w:r>
          </w:p>
        </w:tc>
        <w:tc>
          <w:tcPr>
            <w:tcW w:w="207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Jakarta EE 10 (JSP / Servlets)</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MVC web (Front Controller)</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JAX-WS Client en Payara 7</w:t>
            </w:r>
          </w:p>
        </w:tc>
        <w:tc>
          <w:tcPr>
            <w:tcW w:w="188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Celulares_CliWeb_GR8</w:t>
            </w:r>
          </w:p>
        </w:tc>
      </w:tr>
      <w:tr>
        <w:trPr>
          <w:cantSplit/>
        </w:trPr>
        <w:tc>
          <w:tcPr>
            <w:tcW w:w="1695"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Móvil (CLIMOV)</w:t>
            </w:r>
          </w:p>
        </w:tc>
        <w:tc>
          <w:tcPr>
            <w:tcW w:w="207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Android nativo (Java / Gradle)</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MVC móvil</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KSOAP2 / HTTP XML</w:t>
            </w:r>
          </w:p>
        </w:tc>
        <w:tc>
          <w:tcPr>
            <w:tcW w:w="188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Celulares_CliMov_GR8</w:t>
            </w:r>
          </w:p>
        </w:tc>
      </w:tr>
    </w:tbl>
    <w:p>
      <w:pPr>
        <w:spacing w:before="0" w:after="0"/>
      </w:pPr>
    </w:p>
    <w:p>
      <w:pPr>
        <w:pStyle w:val="Ttulo2"/>
        <w:numPr>
          <w:ilvl w:val="1"/>
          <w:numId w:val="20"/>
        </w:numPr>
        <w:spacing w:before="60" w:after="80" w:line="276" w:lineRule="auto"/>
        <w:jc w:val="left"/>
      </w:pPr>
      <w:r>
        <w:rPr>
          <w:rFonts w:ascii="Calibri" w:hAnsi="Calibri"/>
          <w:b/>
          <w:color w:val="000000"/>
          <w:sz w:val="22"/>
        </w:rPr>
        <w:t xml:space="preserve">Interfaces de Hardware</w:t>
      </w:r>
    </w:p>
    <w:p>
      <w:pPr>
        <w:spacing w:before="60" w:after="80" w:line="276" w:lineRule="auto"/>
        <w:jc w:val="both"/>
      </w:pPr>
      <w:r>
        <w:rPr>
          <w:rFonts w:ascii="Calibri" w:hAnsi="Calibri"/>
          <w:b w:val="0"/>
          <w:color w:val="000000"/>
          <w:sz w:val="22"/>
        </w:rPr>
        <w:t xml:space="preserve">Pantalla del monitor o táctil para visualizar las opciones, la factura y la tabla de amortización, y periféricos de entrada (teclado, ratón o pantalla táctil) para ingresar los datos de la venta.</w:t>
      </w:r>
    </w:p>
    <w:p>
      <w:pPr>
        <w:pStyle w:val="Ttulo2"/>
        <w:numPr>
          <w:ilvl w:val="1"/>
          <w:numId w:val="20"/>
        </w:numPr>
        <w:spacing w:before="60" w:after="80" w:line="276" w:lineRule="auto"/>
        <w:jc w:val="left"/>
      </w:pPr>
      <w:r>
        <w:rPr>
          <w:rFonts w:ascii="Calibri" w:hAnsi="Calibri"/>
          <w:b/>
          <w:color w:val="000000"/>
          <w:sz w:val="22"/>
        </w:rPr>
        <w:t xml:space="preserve">Interfaces de Software</w:t>
      </w:r>
    </w:p>
    <w:p>
      <w:pPr>
        <w:pStyle w:val="Prrafodelista"/>
        <w:numPr>
          <w:ilvl w:val="0"/>
          <w:numId w:val="34"/>
        </w:numPr>
        <w:spacing w:before="60" w:after="80" w:line="276" w:lineRule="auto"/>
        <w:jc w:val="both"/>
      </w:pPr>
      <w:r>
        <w:rPr>
          <w:rFonts w:ascii="Calibri" w:hAnsi="Calibri"/>
          <w:b w:val="0"/>
          <w:color w:val="000000"/>
          <w:sz w:val="22"/>
        </w:rPr>
        <w:t xml:space="preserve">Sistema operativo: Windows, Linux o Android.</w:t>
      </w:r>
    </w:p>
    <w:p>
      <w:pPr>
        <w:pStyle w:val="Prrafodelista"/>
        <w:numPr>
          <w:ilvl w:val="0"/>
          <w:numId w:val="34"/>
        </w:numPr>
        <w:spacing w:before="60" w:after="80" w:line="276" w:lineRule="auto"/>
        <w:jc w:val="both"/>
      </w:pPr>
      <w:r>
        <w:rPr>
          <w:rFonts w:ascii="Calibri" w:hAnsi="Calibri"/>
          <w:b w:val="0"/>
          <w:color w:val="000000"/>
          <w:sz w:val="22"/>
        </w:rPr>
        <w:t xml:space="preserve">Navegador web: Chrome, Firefox, Edge u Opera.</w:t>
      </w:r>
    </w:p>
    <w:p>
      <w:pPr>
        <w:pStyle w:val="Ttulo2"/>
        <w:numPr>
          <w:ilvl w:val="1"/>
          <w:numId w:val="20"/>
        </w:numPr>
        <w:spacing w:before="60" w:after="80" w:line="276" w:lineRule="auto"/>
        <w:jc w:val="left"/>
      </w:pPr>
      <w:r>
        <w:rPr>
          <w:rFonts w:ascii="Calibri" w:hAnsi="Calibri"/>
          <w:b/>
          <w:color w:val="000000"/>
          <w:sz w:val="22"/>
        </w:rPr>
        <w:t xml:space="preserve">Interfaces de Comunicación</w:t>
      </w:r>
    </w:p>
    <w:p>
      <w:pPr>
        <w:spacing w:before="60" w:after="80" w:line="276" w:lineRule="auto"/>
        <w:jc w:val="both"/>
      </w:pPr>
      <w:r>
        <w:rPr>
          <w:rFonts w:ascii="Calibri" w:hAnsi="Calibri"/>
          <w:b w:val="0"/>
          <w:color w:val="000000"/>
          <w:sz w:val="22"/>
        </w:rPr>
        <w:t xml:space="preserve">Los clientes, la comercializadora y el Core BanQuito se comunican exclusivamente por la red mediante HTTP, intercambiando mensajes SOAP según el contrato WSDL de cada servicio. Las operaciones propuestas son:</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32</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Matriz de operaciones del servicio WSBanQuito (Core)</w:t>
      </w:r>
    </w:p>
    <w:tbl>
      <w:tblPr>
        <w:tblStyle w:val="Tablaconcuadrcula4-nfasis1"/>
        <w:tblW w:w="9420" w:type="dxa"/>
        <w:jc w:val="center"/>
        <w:tblLayout w:type="fixed"/>
        <w:tblLook w:val="04A0" w:firstRow="1" w:lastRow="0" w:firstColumn="1" w:lastColumn="0" w:noHBand="0" w:noVBand="1"/>
      </w:tblPr>
      <w:tblGrid>
        <w:gridCol w:w="2260"/>
        <w:gridCol w:w="2260"/>
        <w:gridCol w:w="2637"/>
        <w:gridCol w:w="2263"/>
      </w:tblGrid>
      <w:tr>
        <w:trPr>
          <w:cantSplit/>
          <w:tblHeader/>
        </w:trPr>
        <w:tc>
          <w:tcPr>
            <w:tcW w:w="2260"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Operación WSDL</w:t>
            </w:r>
          </w:p>
        </w:tc>
        <w:tc>
          <w:tcPr>
            <w:tcW w:w="2260"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Parámetros de entrada</w:t>
            </w:r>
          </w:p>
        </w:tc>
        <w:tc>
          <w:tcPr>
            <w:tcW w:w="2637"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Retorno</w:t>
            </w:r>
          </w:p>
        </w:tc>
        <w:tc>
          <w:tcPr>
            <w:tcW w:w="2263"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Descripción</w:t>
            </w:r>
          </w:p>
        </w:tc>
      </w:tr>
      <w:tr>
        <w:trPr>
          <w:cantSplit/>
        </w:trPr>
        <w:tc>
          <w:tcPr>
            <w:tcW w:w="2260"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verificarSujetoCredito</w:t>
            </w:r>
          </w:p>
        </w:tc>
        <w:tc>
          <w:tcPr>
            <w:tcW w:w="226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String cedula</w:t>
            </w:r>
          </w:p>
        </w:tc>
        <w:tc>
          <w:tcPr>
            <w:tcW w:w="2637"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RespuestaSujetoCredito {esSujeto, codCliente, motivo}</w:t>
            </w:r>
          </w:p>
        </w:tc>
        <w:tc>
          <w:tcPr>
            <w:tcW w:w="2263"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Aplica las reglas RN-01 a RN-04.</w:t>
            </w:r>
          </w:p>
        </w:tc>
      </w:tr>
      <w:tr>
        <w:trPr>
          <w:cantSplit/>
        </w:trPr>
        <w:tc>
          <w:tcPr>
            <w:tcW w:w="2260"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obtenerMontoMaximo</w:t>
            </w:r>
          </w:p>
        </w:tc>
        <w:tc>
          <w:tcPr>
            <w:tcW w:w="226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int codCliente</w:t>
            </w:r>
          </w:p>
        </w:tc>
        <w:tc>
          <w:tcPr>
            <w:tcW w:w="2637"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BigDecimal</w:t>
            </w:r>
          </w:p>
        </w:tc>
        <w:tc>
          <w:tcPr>
            <w:tcW w:w="2263"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Aplica la regla RN-05.</w:t>
            </w:r>
          </w:p>
        </w:tc>
      </w:tr>
      <w:tr>
        <w:trPr>
          <w:cantSplit/>
        </w:trPr>
        <w:tc>
          <w:tcPr>
            <w:tcW w:w="2260"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otorgarCredito</w:t>
            </w:r>
          </w:p>
        </w:tc>
        <w:tc>
          <w:tcPr>
            <w:tcW w:w="226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int codCliente, BigDecimal precio, int numeroCuotas</w:t>
            </w:r>
          </w:p>
        </w:tc>
        <w:tc>
          <w:tcPr>
            <w:tcW w:w="2637"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RespuestaCredito {exito, codCredito, valorCuota, mensaje, amortizacion}</w:t>
            </w:r>
          </w:p>
        </w:tc>
        <w:tc>
          <w:tcPr>
            <w:tcW w:w="2263"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Vuelve a validar al cliente, aprueba el crédito y registra la tabla de amortización.</w:t>
            </w:r>
          </w:p>
        </w:tc>
      </w:tr>
      <w:tr>
        <w:trPr>
          <w:cantSplit/>
        </w:trPr>
        <w:tc>
          <w:tcPr>
            <w:tcW w:w="2260"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consultarTablaAmortizacion</w:t>
            </w:r>
          </w:p>
        </w:tc>
        <w:tc>
          <w:tcPr>
            <w:tcW w:w="226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int codCredito</w:t>
            </w:r>
          </w:p>
        </w:tc>
        <w:tc>
          <w:tcPr>
            <w:tcW w:w="2637"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List&lt;CuotaAmortizacion&gt;</w:t>
            </w:r>
          </w:p>
        </w:tc>
        <w:tc>
          <w:tcPr>
            <w:tcW w:w="2263"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Retorna las cuotas de un crédito otorgado.</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33</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Matriz de operaciones del servicio WSComercializadora</w:t>
      </w:r>
    </w:p>
    <w:tbl>
      <w:tblPr>
        <w:tblStyle w:val="Tablaconcuadrcula4-nfasis1"/>
        <w:tblW w:w="9420" w:type="dxa"/>
        <w:jc w:val="center"/>
        <w:tblLayout w:type="fixed"/>
        <w:tblLook w:val="04A0" w:firstRow="1" w:lastRow="0" w:firstColumn="1" w:lastColumn="0" w:noHBand="0" w:noVBand="1"/>
      </w:tblPr>
      <w:tblGrid>
        <w:gridCol w:w="2260"/>
        <w:gridCol w:w="2826"/>
        <w:gridCol w:w="1884"/>
        <w:gridCol w:w="2450"/>
      </w:tblGrid>
      <w:tr>
        <w:trPr>
          <w:cantSplit/>
          <w:tblHeader/>
        </w:trPr>
        <w:tc>
          <w:tcPr>
            <w:tcW w:w="2260"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Operación WSDL</w:t>
            </w:r>
          </w:p>
        </w:tc>
        <w:tc>
          <w:tcPr>
            <w:tcW w:w="2826"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Parámetros de entrada</w:t>
            </w:r>
          </w:p>
        </w:tc>
        <w:tc>
          <w:tcPr>
            <w:tcW w:w="1884"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Retorno</w:t>
            </w:r>
          </w:p>
        </w:tc>
        <w:tc>
          <w:tcPr>
            <w:tcW w:w="2450"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Descripción</w:t>
            </w:r>
          </w:p>
        </w:tc>
      </w:tr>
      <w:tr>
        <w:trPr>
          <w:cantSplit/>
        </w:trPr>
        <w:tc>
          <w:tcPr>
            <w:tcW w:w="2260" w:type="dxa"/>
            <w:shd w:val="clear" w:color="auto" w:fill="F9FBFD"/>
            <w:tcMar>
              <w:top w:w="80" w:type="dxa"/>
              <w:bottom w:w="80" w:type="dxa"/>
              <w:left w:w="120" w:type="dxa"/>
              <w:right w:w="120" w:type="dxa"/>
            </w:tcMar>
          </w:tcPr>
          <w:p>
            <w:pPr/>
            <w:r/>
            <w:r>
              <w:rPr>
                <w:rFonts w:ascii="Calibri" w:hAnsi="Calibri"/>
                <w:b w:val="0"/>
                <w:sz w:val="19"/>
              </w:rPr>
              <w:t>crearCelular</w:t>
            </w:r>
          </w:p>
        </w:tc>
        <w:tc>
          <w:tcPr>
            <w:tcW w:w="2826" w:type="dxa"/>
            <w:shd w:val="clear" w:color="auto" w:fill="F9FBFD"/>
            <w:tcMar>
              <w:top w:w="80" w:type="dxa"/>
              <w:bottom w:w="80" w:type="dxa"/>
              <w:left w:w="120" w:type="dxa"/>
              <w:right w:w="120" w:type="dxa"/>
            </w:tcMar>
          </w:tcPr>
          <w:p>
            <w:pPr/>
            <w:r/>
            <w:r>
              <w:rPr>
                <w:rFonts w:ascii="Calibri" w:hAnsi="Calibri"/>
                <w:b w:val="0"/>
                <w:sz w:val="19"/>
              </w:rPr>
              <w:t>String marca, String modelo, BigDecimal precio</w:t>
            </w:r>
          </w:p>
        </w:tc>
        <w:tc>
          <w:tcPr>
            <w:tcW w:w="1884" w:type="dxa"/>
            <w:shd w:val="clear" w:color="auto" w:fill="F9FBFD"/>
            <w:tcMar>
              <w:top w:w="80" w:type="dxa"/>
              <w:bottom w:w="80" w:type="dxa"/>
              <w:left w:w="120" w:type="dxa"/>
              <w:right w:w="120" w:type="dxa"/>
            </w:tcMar>
          </w:tcPr>
          <w:p>
            <w:pPr/>
            <w:r/>
            <w:r>
              <w:rPr>
                <w:rFonts w:ascii="Calibri" w:hAnsi="Calibri"/>
                <w:b w:val="0"/>
                <w:sz w:val="19"/>
              </w:rPr>
              <w:t>Celular</w:t>
            </w:r>
          </w:p>
        </w:tc>
        <w:tc>
          <w:tcPr>
            <w:tcW w:w="2450" w:type="dxa"/>
            <w:shd w:val="clear" w:color="auto" w:fill="F9FBFD"/>
            <w:tcMar>
              <w:top w:w="80" w:type="dxa"/>
              <w:bottom w:w="80" w:type="dxa"/>
              <w:left w:w="120" w:type="dxa"/>
              <w:right w:w="120" w:type="dxa"/>
            </w:tcMar>
          </w:tcPr>
          <w:p>
            <w:pPr/>
            <w:r/>
            <w:r>
              <w:rPr>
                <w:rFonts w:ascii="Calibri" w:hAnsi="Calibri"/>
                <w:b w:val="0"/>
                <w:sz w:val="19"/>
              </w:rPr>
              <w:t>Operación Create (C): registra un nuevo celular disponible en el catálogo con estado activo.</w:t>
            </w:r>
          </w:p>
        </w:tc>
      </w:tr>
      <w:tr>
        <w:trPr>
          <w:cantSplit/>
        </w:trPr>
        <w:tc>
          <w:tcPr>
            <w:tcW w:w="2260" w:type="dxa"/>
            <w:shd w:val="clear" w:color="auto" w:fill="FFFFFF"/>
            <w:tcMar>
              <w:top w:w="80" w:type="dxa"/>
              <w:bottom w:w="80" w:type="dxa"/>
              <w:left w:w="120" w:type="dxa"/>
              <w:right w:w="120" w:type="dxa"/>
            </w:tcMar>
          </w:tcPr>
          <w:p>
            <w:pPr/>
            <w:r/>
            <w:r>
              <w:rPr>
                <w:rFonts w:ascii="Calibri" w:hAnsi="Calibri"/>
                <w:b w:val="0"/>
                <w:sz w:val="19"/>
              </w:rPr>
              <w:t>listarCelulares</w:t>
            </w:r>
          </w:p>
        </w:tc>
        <w:tc>
          <w:tcPr>
            <w:tcW w:w="2826" w:type="dxa"/>
            <w:shd w:val="clear" w:color="auto" w:fill="FFFFFF"/>
            <w:tcMar>
              <w:top w:w="80" w:type="dxa"/>
              <w:bottom w:w="80" w:type="dxa"/>
              <w:left w:w="120" w:type="dxa"/>
              <w:right w:w="120" w:type="dxa"/>
            </w:tcMar>
          </w:tcPr>
          <w:p>
            <w:pPr/>
            <w:r>
              <w:t>boolean soloActivos</w:t>
            </w:r>
          </w:p>
        </w:tc>
        <w:tc>
          <w:tcPr>
            <w:tcW w:w="1884" w:type="dxa"/>
            <w:shd w:val="clear" w:color="auto" w:fill="FFFFFF"/>
            <w:tcMar>
              <w:top w:w="80" w:type="dxa"/>
              <w:bottom w:w="80" w:type="dxa"/>
              <w:left w:w="120" w:type="dxa"/>
              <w:right w:w="120" w:type="dxa"/>
            </w:tcMar>
          </w:tcPr>
          <w:p>
            <w:pPr/>
            <w:r/>
            <w:r>
              <w:rPr>
                <w:rFonts w:ascii="Calibri" w:hAnsi="Calibri"/>
                <w:b w:val="0"/>
                <w:sz w:val="19"/>
              </w:rPr>
              <w:t>List&lt;Celular&gt;</w:t>
            </w:r>
          </w:p>
        </w:tc>
        <w:tc>
          <w:tcPr>
            <w:tcW w:w="2450" w:type="dxa"/>
            <w:shd w:val="clear" w:color="auto" w:fill="FFFFFF"/>
            <w:tcMar>
              <w:top w:w="80" w:type="dxa"/>
              <w:bottom w:w="80" w:type="dxa"/>
              <w:left w:w="120" w:type="dxa"/>
              <w:right w:w="120" w:type="dxa"/>
            </w:tcMar>
          </w:tcPr>
          <w:p>
            <w:pPr/>
            <w:r>
              <w:t>Operación Read (R): retorna los teléfonos del catálogo; con soloActivos = true, solo los disponibles para la venta.</w:t>
            </w:r>
          </w:p>
        </w:tc>
      </w:tr>
      <w:tr>
        <w:trPr>
          <w:cantSplit/>
        </w:trPr>
        <w:tc>
          <w:tcPr>
            <w:tcW w:w="2260" w:type="dxa"/>
            <w:shd w:val="clear" w:color="auto" w:fill="F9FBFD"/>
            <w:tcMar>
              <w:top w:w="80" w:type="dxa"/>
              <w:bottom w:w="80" w:type="dxa"/>
              <w:left w:w="120" w:type="dxa"/>
              <w:right w:w="120" w:type="dxa"/>
            </w:tcMar>
          </w:tcPr>
          <w:p>
            <w:pPr/>
            <w:r/>
            <w:r>
              <w:rPr>
                <w:rFonts w:ascii="Calibri" w:hAnsi="Calibri"/>
                <w:b w:val="0"/>
                <w:sz w:val="19"/>
              </w:rPr>
              <w:t>obtenerCelular</w:t>
            </w:r>
          </w:p>
        </w:tc>
        <w:tc>
          <w:tcPr>
            <w:tcW w:w="2826" w:type="dxa"/>
            <w:shd w:val="clear" w:color="auto" w:fill="F9FBFD"/>
            <w:tcMar>
              <w:top w:w="80" w:type="dxa"/>
              <w:bottom w:w="80" w:type="dxa"/>
              <w:left w:w="120" w:type="dxa"/>
              <w:right w:w="120" w:type="dxa"/>
            </w:tcMar>
          </w:tcPr>
          <w:p>
            <w:pPr/>
            <w:r/>
            <w:r>
              <w:rPr>
                <w:rFonts w:ascii="Calibri" w:hAnsi="Calibri"/>
                <w:b w:val="0"/>
                <w:sz w:val="19"/>
              </w:rPr>
              <w:t>int codCelular</w:t>
            </w:r>
          </w:p>
        </w:tc>
        <w:tc>
          <w:tcPr>
            <w:tcW w:w="1884" w:type="dxa"/>
            <w:shd w:val="clear" w:color="auto" w:fill="F9FBFD"/>
            <w:tcMar>
              <w:top w:w="80" w:type="dxa"/>
              <w:bottom w:w="80" w:type="dxa"/>
              <w:left w:w="120" w:type="dxa"/>
              <w:right w:w="120" w:type="dxa"/>
            </w:tcMar>
          </w:tcPr>
          <w:p>
            <w:pPr/>
            <w:r/>
            <w:r>
              <w:rPr>
                <w:rFonts w:ascii="Calibri" w:hAnsi="Calibri"/>
                <w:b w:val="0"/>
                <w:sz w:val="19"/>
              </w:rPr>
              <w:t>Celular</w:t>
            </w:r>
          </w:p>
        </w:tc>
        <w:tc>
          <w:tcPr>
            <w:tcW w:w="2450" w:type="dxa"/>
            <w:shd w:val="clear" w:color="auto" w:fill="F9FBFD"/>
            <w:tcMar>
              <w:top w:w="80" w:type="dxa"/>
              <w:bottom w:w="80" w:type="dxa"/>
              <w:left w:w="120" w:type="dxa"/>
              <w:right w:w="120" w:type="dxa"/>
            </w:tcMar>
          </w:tcPr>
          <w:p>
            <w:pPr/>
            <w:r/>
            <w:r>
              <w:rPr>
                <w:rFonts w:ascii="Calibri" w:hAnsi="Calibri"/>
                <w:b w:val="0"/>
                <w:sz w:val="19"/>
              </w:rPr>
              <w:t>Operación Read (R): busca y retorna el detalle de un teléfono celular específico por su código.</w:t>
            </w:r>
          </w:p>
        </w:tc>
      </w:tr>
      <w:tr>
        <w:trPr>
          <w:cantSplit/>
        </w:trPr>
        <w:tc>
          <w:tcPr>
            <w:tcW w:w="2260" w:type="dxa"/>
            <w:shd w:val="clear" w:color="auto" w:fill="FFFFFF"/>
            <w:tcMar>
              <w:top w:w="80" w:type="dxa"/>
              <w:bottom w:w="80" w:type="dxa"/>
              <w:left w:w="120" w:type="dxa"/>
              <w:right w:w="120" w:type="dxa"/>
            </w:tcMar>
          </w:tcPr>
          <w:p>
            <w:pPr/>
            <w:r/>
            <w:r>
              <w:rPr>
                <w:rFonts w:ascii="Calibri" w:hAnsi="Calibri"/>
                <w:b w:val="0"/>
                <w:sz w:val="19"/>
              </w:rPr>
              <w:t>actualizarCelular</w:t>
            </w:r>
          </w:p>
        </w:tc>
        <w:tc>
          <w:tcPr>
            <w:tcW w:w="2826" w:type="dxa"/>
            <w:shd w:val="clear" w:color="auto" w:fill="FFFFFF"/>
            <w:tcMar>
              <w:top w:w="80" w:type="dxa"/>
              <w:bottom w:w="80" w:type="dxa"/>
              <w:left w:w="120" w:type="dxa"/>
              <w:right w:w="120" w:type="dxa"/>
            </w:tcMar>
          </w:tcPr>
          <w:p>
            <w:pPr/>
            <w:r/>
            <w:r>
              <w:rPr>
                <w:rFonts w:ascii="Calibri" w:hAnsi="Calibri"/>
                <w:b w:val="0"/>
                <w:sz w:val="19"/>
              </w:rPr>
              <w:t>int codCelular, String marca, String modelo, BigDecimal precio, boolean activo</w:t>
            </w:r>
          </w:p>
        </w:tc>
        <w:tc>
          <w:tcPr>
            <w:tcW w:w="1884" w:type="dxa"/>
            <w:shd w:val="clear" w:color="auto" w:fill="FFFFFF"/>
            <w:tcMar>
              <w:top w:w="80" w:type="dxa"/>
              <w:bottom w:w="80" w:type="dxa"/>
              <w:left w:w="120" w:type="dxa"/>
              <w:right w:w="120" w:type="dxa"/>
            </w:tcMar>
          </w:tcPr>
          <w:p>
            <w:pPr/>
            <w:r/>
            <w:r>
              <w:rPr>
                <w:rFonts w:ascii="Calibri" w:hAnsi="Calibri"/>
                <w:b w:val="0"/>
                <w:sz w:val="19"/>
              </w:rPr>
              <w:t>Celular</w:t>
            </w:r>
          </w:p>
        </w:tc>
        <w:tc>
          <w:tcPr>
            <w:tcW w:w="2450" w:type="dxa"/>
            <w:shd w:val="clear" w:color="auto" w:fill="FFFFFF"/>
            <w:tcMar>
              <w:top w:w="80" w:type="dxa"/>
              <w:bottom w:w="80" w:type="dxa"/>
              <w:left w:w="120" w:type="dxa"/>
              <w:right w:w="120" w:type="dxa"/>
            </w:tcMar>
          </w:tcPr>
          <w:p>
            <w:pPr/>
            <w:r/>
            <w:r>
              <w:rPr>
                <w:rFonts w:ascii="Calibri" w:hAnsi="Calibri"/>
                <w:b w:val="0"/>
                <w:sz w:val="19"/>
              </w:rPr>
              <w:t>Operación Update (U): modifica los datos o estado de un celular del catálogo.</w:t>
            </w:r>
          </w:p>
        </w:tc>
      </w:tr>
      <w:tr>
        <w:trPr>
          <w:cantSplit/>
        </w:trPr>
        <w:tc>
          <w:tcPr>
            <w:tcW w:w="2260" w:type="dxa"/>
            <w:shd w:val="clear" w:color="auto" w:fill="F9FBFD"/>
            <w:tcMar>
              <w:top w:w="80" w:type="dxa"/>
              <w:bottom w:w="80" w:type="dxa"/>
              <w:left w:w="120" w:type="dxa"/>
              <w:right w:w="120" w:type="dxa"/>
            </w:tcMar>
          </w:tcPr>
          <w:p>
            <w:pPr/>
            <w:r/>
            <w:r>
              <w:rPr>
                <w:rFonts w:ascii="Calibri" w:hAnsi="Calibri"/>
                <w:b w:val="0"/>
                <w:sz w:val="19"/>
              </w:rPr>
              <w:t>eliminarCelular</w:t>
            </w:r>
          </w:p>
        </w:tc>
        <w:tc>
          <w:tcPr>
            <w:tcW w:w="2826" w:type="dxa"/>
            <w:shd w:val="clear" w:color="auto" w:fill="F9FBFD"/>
            <w:tcMar>
              <w:top w:w="80" w:type="dxa"/>
              <w:bottom w:w="80" w:type="dxa"/>
              <w:left w:w="120" w:type="dxa"/>
              <w:right w:w="120" w:type="dxa"/>
            </w:tcMar>
          </w:tcPr>
          <w:p>
            <w:pPr/>
            <w:r/>
            <w:r>
              <w:rPr>
                <w:rFonts w:ascii="Calibri" w:hAnsi="Calibri"/>
                <w:b w:val="0"/>
                <w:sz w:val="19"/>
              </w:rPr>
              <w:t>int codCelular</w:t>
            </w:r>
          </w:p>
        </w:tc>
        <w:tc>
          <w:tcPr>
            <w:tcW w:w="1884" w:type="dxa"/>
            <w:shd w:val="clear" w:color="auto" w:fill="F9FBFD"/>
            <w:tcMar>
              <w:top w:w="80" w:type="dxa"/>
              <w:bottom w:w="80" w:type="dxa"/>
              <w:left w:w="120" w:type="dxa"/>
              <w:right w:w="120" w:type="dxa"/>
            </w:tcMar>
          </w:tcPr>
          <w:p>
            <w:pPr/>
            <w:r/>
            <w:r>
              <w:rPr>
                <w:rFonts w:ascii="Calibri" w:hAnsi="Calibri"/>
                <w:b w:val="0"/>
                <w:sz w:val="19"/>
              </w:rPr>
              <w:t>boolean</w:t>
            </w:r>
          </w:p>
        </w:tc>
        <w:tc>
          <w:tcPr>
            <w:tcW w:w="2450" w:type="dxa"/>
            <w:shd w:val="clear" w:color="auto" w:fill="F9FBFD"/>
            <w:tcMar>
              <w:top w:w="80" w:type="dxa"/>
              <w:bottom w:w="80" w:type="dxa"/>
              <w:left w:w="120" w:type="dxa"/>
              <w:right w:w="120" w:type="dxa"/>
            </w:tcMar>
          </w:tcPr>
          <w:p>
            <w:pPr/>
            <w:r/>
            <w:r>
              <w:rPr>
                <w:rFonts w:ascii="Calibri" w:hAnsi="Calibri"/>
                <w:b w:val="0"/>
                <w:sz w:val="19"/>
              </w:rPr>
              <w:t>Operación Delete (D): elimina físicamente si no tiene facturas, o aplica borrado lógico (activo = 0) si tiene ventas asociadas.</w:t>
            </w:r>
          </w:p>
        </w:tc>
      </w:tr>
      <w:tr>
        <w:trPr>
          <w:cantSplit/>
        </w:trPr>
        <w:tc>
          <w:tcPr>
            <w:tcW w:w="2260" w:type="dxa"/>
            <w:shd w:val="clear" w:color="auto" w:fill="FFFFFF"/>
            <w:tcMar>
              <w:top w:w="80" w:type="dxa"/>
              <w:bottom w:w="80" w:type="dxa"/>
              <w:left w:w="120" w:type="dxa"/>
              <w:right w:w="120" w:type="dxa"/>
            </w:tcMar>
          </w:tcPr>
          <w:p>
            <w:pPr/>
            <w:r/>
            <w:r>
              <w:rPr>
                <w:rFonts w:ascii="Calibri" w:hAnsi="Calibri"/>
                <w:b w:val="0"/>
                <w:sz w:val="19"/>
              </w:rPr>
              <w:t>facturarEfectivo</w:t>
            </w:r>
          </w:p>
        </w:tc>
        <w:tc>
          <w:tcPr>
            <w:tcW w:w="2826" w:type="dxa"/>
            <w:shd w:val="clear" w:color="auto" w:fill="FFFFFF"/>
            <w:tcMar>
              <w:top w:w="80" w:type="dxa"/>
              <w:bottom w:w="80" w:type="dxa"/>
              <w:left w:w="120" w:type="dxa"/>
              <w:right w:w="120" w:type="dxa"/>
            </w:tcMar>
          </w:tcPr>
          <w:p>
            <w:pPr/>
            <w:r>
              <w:t>String cedula, String nombre, int codCelular, int cantidad</w:t>
            </w:r>
          </w:p>
        </w:tc>
        <w:tc>
          <w:tcPr>
            <w:tcW w:w="1884" w:type="dxa"/>
            <w:shd w:val="clear" w:color="auto" w:fill="FFFFFF"/>
            <w:tcMar>
              <w:top w:w="80" w:type="dxa"/>
              <w:bottom w:w="80" w:type="dxa"/>
              <w:left w:w="120" w:type="dxa"/>
              <w:right w:w="120" w:type="dxa"/>
            </w:tcMar>
          </w:tcPr>
          <w:p>
            <w:pPr/>
            <w:r/>
            <w:r>
              <w:rPr>
                <w:rFonts w:ascii="Calibri" w:hAnsi="Calibri"/>
                <w:b w:val="0"/>
                <w:sz w:val="19"/>
              </w:rPr>
              <w:t>Factura</w:t>
            </w:r>
          </w:p>
        </w:tc>
        <w:tc>
          <w:tcPr>
            <w:tcW w:w="2450" w:type="dxa"/>
            <w:shd w:val="clear" w:color="auto" w:fill="FFFFFF"/>
            <w:tcMar>
              <w:top w:w="80" w:type="dxa"/>
              <w:bottom w:w="80" w:type="dxa"/>
              <w:left w:w="120" w:type="dxa"/>
              <w:right w:w="120" w:type="dxa"/>
            </w:tcMar>
          </w:tcPr>
          <w:p>
            <w:pPr/>
            <w:r>
              <w:t>Registra la venta con pago en efectivo de la cantidad indicada, aplicando un 42 % de descuento sobre el precio de lista (Create).</w:t>
            </w:r>
          </w:p>
        </w:tc>
      </w:tr>
      <w:tr>
        <w:tc>
          <w:tcPr>
            <w:tcW w:type="dxa" w:w="2260"/>
          </w:tcPr>
          <w:p>
            <w:pPr/>
            <w:r/>
            <w:r>
              <w:rPr>
                <w:rFonts w:ascii="Calibri" w:hAnsi="Calibri"/>
                <w:b w:val="0"/>
                <w:sz w:val="19"/>
              </w:rPr>
              <w:t>facturarCredito</w:t>
            </w:r>
          </w:p>
        </w:tc>
        <w:tc>
          <w:tcPr>
            <w:tcW w:type="dxa" w:w="2826"/>
          </w:tcPr>
          <w:p>
            <w:pPr/>
            <w:r/>
            <w:r>
              <w:rPr>
                <w:rFonts w:ascii="Calibri" w:hAnsi="Calibri"/>
                <w:b w:val="0"/>
                <w:sz w:val="19"/>
              </w:rPr>
              <w:t>String cedula, String nombre, int codCelular, int numeroCuotas</w:t>
            </w:r>
          </w:p>
        </w:tc>
        <w:tc>
          <w:tcPr>
            <w:tcW w:type="dxa" w:w="1884"/>
          </w:tcPr>
          <w:p>
            <w:pPr/>
            <w:r/>
            <w:r>
              <w:rPr>
                <w:rFonts w:ascii="Calibri" w:hAnsi="Calibri"/>
                <w:b w:val="0"/>
                <w:sz w:val="19"/>
              </w:rPr>
              <w:t>Factura</w:t>
            </w:r>
          </w:p>
        </w:tc>
        <w:tc>
          <w:tcPr>
            <w:tcW w:type="dxa" w:w="2450"/>
          </w:tcPr>
          <w:p>
            <w:pPr/>
            <w:r/>
            <w:r>
              <w:rPr>
                <w:rFonts w:ascii="Calibri" w:hAnsi="Calibri"/>
                <w:b w:val="0"/>
                <w:sz w:val="19"/>
              </w:rPr>
              <w:t>Invoca al Core BanQuito, evalúa sujeto y monto máximo, y factura con crédito aprobado (Create).</w:t>
            </w:r>
          </w:p>
        </w:tc>
      </w:tr>
      <w:tr>
        <w:tc>
          <w:tcPr>
            <w:tcW w:type="dxa" w:w="2260"/>
          </w:tcPr>
          <w:p>
            <w:pPr/>
            <w:r/>
            <w:r>
              <w:rPr>
                <w:rFonts w:ascii="Calibri" w:hAnsi="Calibri"/>
                <w:b w:val="0"/>
                <w:sz w:val="19"/>
              </w:rPr>
              <w:t>consultarAmortizacion</w:t>
            </w:r>
          </w:p>
        </w:tc>
        <w:tc>
          <w:tcPr>
            <w:tcW w:type="dxa" w:w="2826"/>
          </w:tcPr>
          <w:p>
            <w:pPr/>
            <w:r/>
            <w:r>
              <w:rPr>
                <w:rFonts w:ascii="Calibri" w:hAnsi="Calibri"/>
                <w:b w:val="0"/>
                <w:sz w:val="19"/>
              </w:rPr>
              <w:t>int numFactura</w:t>
            </w:r>
          </w:p>
        </w:tc>
        <w:tc>
          <w:tcPr>
            <w:tcW w:type="dxa" w:w="1884"/>
          </w:tcPr>
          <w:p>
            <w:pPr/>
            <w:r/>
            <w:r>
              <w:rPr>
                <w:rFonts w:ascii="Calibri" w:hAnsi="Calibri"/>
                <w:b w:val="0"/>
                <w:sz w:val="19"/>
              </w:rPr>
              <w:t>List&lt;CuotaAmortizacion&gt;</w:t>
            </w:r>
          </w:p>
        </w:tc>
        <w:tc>
          <w:tcPr>
            <w:tcW w:type="dxa" w:w="2450"/>
          </w:tcPr>
          <w:p>
            <w:pPr/>
            <w:r/>
            <w:r>
              <w:rPr>
                <w:rFonts w:ascii="Calibri" w:hAnsi="Calibri"/>
                <w:b w:val="0"/>
                <w:sz w:val="19"/>
              </w:rPr>
              <w:t>Obtiene del Core BanQuito la tabla de amortización del crédito asociado a la factura (Read).</w:t>
            </w:r>
          </w:p>
        </w:tc>
      </w:tr>
      <w:tr>
        <w:tc>
          <w:tcPr>
            <w:tcW w:type="dxa" w:w="2260"/>
          </w:tcPr>
          <w:p>
            <w:pPr/>
            <w:r/>
            <w:r>
              <w:rPr>
                <w:rFonts w:ascii="Calibri" w:hAnsi="Calibri"/>
                <w:b w:val="0"/>
                <w:sz w:val="19"/>
              </w:rPr>
              <w:t>obtenerFactura</w:t>
            </w:r>
          </w:p>
        </w:tc>
        <w:tc>
          <w:tcPr>
            <w:tcW w:type="dxa" w:w="2826"/>
          </w:tcPr>
          <w:p>
            <w:pPr/>
            <w:r/>
            <w:r>
              <w:rPr>
                <w:rFonts w:ascii="Calibri" w:hAnsi="Calibri"/>
                <w:b w:val="0"/>
                <w:sz w:val="19"/>
              </w:rPr>
              <w:t>int numFactura</w:t>
            </w:r>
          </w:p>
        </w:tc>
        <w:tc>
          <w:tcPr>
            <w:tcW w:type="dxa" w:w="1884"/>
          </w:tcPr>
          <w:p>
            <w:pPr/>
            <w:r/>
            <w:r>
              <w:rPr>
                <w:rFonts w:ascii="Calibri" w:hAnsi="Calibri"/>
                <w:b w:val="0"/>
                <w:sz w:val="19"/>
              </w:rPr>
              <w:t>Factura</w:t>
            </w:r>
          </w:p>
        </w:tc>
        <w:tc>
          <w:tcPr>
            <w:tcW w:type="dxa" w:w="2450"/>
          </w:tcPr>
          <w:p>
            <w:pPr/>
            <w:r/>
            <w:r>
              <w:rPr>
                <w:rFonts w:ascii="Calibri" w:hAnsi="Calibri"/>
                <w:b w:val="0"/>
                <w:sz w:val="19"/>
              </w:rPr>
              <w:t>Operación Read (R): consulta los datos de cabecera y detalle de una factura emitida por su número.</w:t>
            </w:r>
          </w:p>
        </w:tc>
      </w:tr>
    </w:tbl>
    <w:p>
      <w:pPr>
        <w:spacing w:before="0" w:after="0"/>
      </w:pPr>
    </w:p>
    <w:p>
      <w:pPr>
        <w:pStyle w:val="Ttulo2"/>
        <w:numPr>
          <w:ilvl w:val="1"/>
          <w:numId w:val="20"/>
        </w:numPr>
        <w:spacing w:before="60" w:after="80" w:line="276" w:lineRule="auto"/>
        <w:jc w:val="left"/>
      </w:pPr>
      <w:r>
        <w:rPr>
          <w:rFonts w:ascii="Calibri" w:hAnsi="Calibri"/>
          <w:b/>
          <w:color w:val="000000"/>
          <w:sz w:val="22"/>
        </w:rPr>
        <w:t xml:space="preserve">Base de Datos</w:t>
      </w:r>
    </w:p>
    <w:p>
      <w:pPr>
        <w:spacing w:before="60" w:after="80" w:line="276" w:lineRule="auto"/>
        <w:jc w:val="both"/>
      </w:pPr>
      <w:r>
        <w:rPr>
          <w:rFonts w:ascii="Calibri" w:hAnsi="Calibri"/>
          <w:b w:val="0"/>
          <w:color w:val="000000"/>
          <w:sz w:val="22"/>
        </w:rPr>
        <w:t xml:space="preserve">El sistema utiliza MySQL 8 con dos esquemas independientes. El esquema banquito conserva el modelo existente del Core y agrega las entidades del crédito; el esquema comercializadora contiene el catálogo y la facturación. Los datos mínimos de prueba del Core son 5 clientes, 5 cuentas y 50 movimientos.</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34</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Entidades de datos del sistema</w:t>
      </w:r>
    </w:p>
    <w:tbl>
      <w:tblPr>
        <w:tblStyle w:val="Tablaconcuadrcula4-nfasis1"/>
        <w:tblW w:w="9420" w:type="dxa"/>
        <w:jc w:val="center"/>
        <w:tblLayout w:type="fixed"/>
        <w:tblLook w:val="04A0" w:firstRow="1" w:lastRow="0" w:firstColumn="1" w:lastColumn="0" w:noHBand="0" w:noVBand="1"/>
      </w:tblPr>
      <w:tblGrid>
        <w:gridCol w:w="1601"/>
        <w:gridCol w:w="1695"/>
        <w:gridCol w:w="3956"/>
        <w:gridCol w:w="2168"/>
      </w:tblGrid>
      <w:tr>
        <w:trPr>
          <w:cantSplit/>
          <w:tblHeader/>
        </w:trPr>
        <w:tc>
          <w:tcPr>
            <w:tcW w:w="1601"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Esquema</w:t>
            </w:r>
          </w:p>
        </w:tc>
        <w:tc>
          <w:tcPr>
            <w:tcW w:w="1695"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Entidad</w:t>
            </w:r>
          </w:p>
        </w:tc>
        <w:tc>
          <w:tcPr>
            <w:tcW w:w="3956"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Atributos principales</w:t>
            </w:r>
          </w:p>
        </w:tc>
        <w:tc>
          <w:tcPr>
            <w:tcW w:w="2168"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Propósito</w:t>
            </w:r>
          </w:p>
        </w:tc>
      </w:tr>
      <w:tr>
        <w:trPr>
          <w:cantSplit/>
        </w:trPr>
        <w:tc>
          <w:tcPr>
            <w:tcW w:w="1601"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banquito</w:t>
            </w:r>
          </w:p>
        </w:tc>
        <w:tc>
          <w:tcPr>
            <w:tcW w:w="169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CLIENTE</w:t>
            </w:r>
          </w:p>
        </w:tc>
        <w:tc>
          <w:tcPr>
            <w:tcW w:w="395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COD_CLIENTE (PK), CEDULA, NOMBRE, GENERO, FECHA_NACIMIENTO</w:t>
            </w:r>
          </w:p>
        </w:tc>
        <w:tc>
          <w:tcPr>
            <w:tcW w:w="2168"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Clientes del banco (modelo existente).</w:t>
            </w:r>
          </w:p>
        </w:tc>
      </w:tr>
      <w:tr>
        <w:trPr>
          <w:cantSplit/>
        </w:trPr>
        <w:tc>
          <w:tcPr>
            <w:tcW w:w="1601"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banquito</w:t>
            </w:r>
          </w:p>
        </w:tc>
        <w:tc>
          <w:tcPr>
            <w:tcW w:w="169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CUENTA</w:t>
            </w:r>
          </w:p>
        </w:tc>
        <w:tc>
          <w:tcPr>
            <w:tcW w:w="395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NUM_CUENTA (PK), COD_CLIENTE (FK), SALDO</w:t>
            </w:r>
          </w:p>
        </w:tc>
        <w:tc>
          <w:tcPr>
            <w:tcW w:w="2168"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Cuentas de los clientes (modelo existente).</w:t>
            </w:r>
          </w:p>
        </w:tc>
      </w:tr>
      <w:tr>
        <w:trPr>
          <w:cantSplit/>
        </w:trPr>
        <w:tc>
          <w:tcPr>
            <w:tcW w:w="1601"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banquito</w:t>
            </w:r>
          </w:p>
        </w:tc>
        <w:tc>
          <w:tcPr>
            <w:tcW w:w="169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MOVIMIENTO</w:t>
            </w:r>
          </w:p>
        </w:tc>
        <w:tc>
          <w:tcPr>
            <w:tcW w:w="395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COD_MOVIMIENTO (PK), NUM_CUENTA (FK), TIPO, VALOR, FECHA</w:t>
            </w:r>
          </w:p>
        </w:tc>
        <w:tc>
          <w:tcPr>
            <w:tcW w:w="2168"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Depósitos (DEP) y retiros (RET) (modelo existente).</w:t>
            </w:r>
          </w:p>
        </w:tc>
      </w:tr>
      <w:tr>
        <w:trPr>
          <w:cantSplit/>
        </w:trPr>
        <w:tc>
          <w:tcPr>
            <w:tcW w:w="1601"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banquito</w:t>
            </w:r>
          </w:p>
        </w:tc>
        <w:tc>
          <w:tcPr>
            <w:tcW w:w="169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CREDITO</w:t>
            </w:r>
          </w:p>
        </w:tc>
        <w:tc>
          <w:tcPr>
            <w:tcW w:w="395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COD_CREDITO (PK), COD_CLIENTE (FK), MONTO, NUM_CUOTAS, TASA_ANUAL, VALOR_CUOTA, FECHA, ESTADO</w:t>
            </w:r>
          </w:p>
        </w:tc>
        <w:tc>
          <w:tcPr>
            <w:tcW w:w="2168"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Créditos otorgados.</w:t>
            </w:r>
          </w:p>
        </w:tc>
      </w:tr>
      <w:tr>
        <w:trPr>
          <w:cantSplit/>
        </w:trPr>
        <w:tc>
          <w:tcPr>
            <w:tcW w:w="1601"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banquito</w:t>
            </w:r>
          </w:p>
        </w:tc>
        <w:tc>
          <w:tcPr>
            <w:tcW w:w="169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AMORTIZACION</w:t>
            </w:r>
          </w:p>
        </w:tc>
        <w:tc>
          <w:tcPr>
            <w:tcW w:w="395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COD_CREDITO (PK, FK), NUM_CUOTA (PK), VALOR_CUOTA, INTERES, CAPITAL, SALDO</w:t>
            </w:r>
          </w:p>
        </w:tc>
        <w:tc>
          <w:tcPr>
            <w:tcW w:w="2168"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Tabla de amortización de cada crédito.</w:t>
            </w:r>
          </w:p>
        </w:tc>
      </w:tr>
      <w:tr>
        <w:trPr>
          <w:cantSplit/>
        </w:trPr>
        <w:tc>
          <w:tcPr>
            <w:tcW w:w="1601"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comercializadora</w:t>
            </w:r>
          </w:p>
        </w:tc>
        <w:tc>
          <w:tcPr>
            <w:tcW w:w="169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CELULAR</w:t>
            </w:r>
          </w:p>
        </w:tc>
        <w:tc>
          <w:tcPr>
            <w:tcW w:w="395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COD_CELULAR (PK), MARCA, MODELO, PRECIO, ACTIVO</w:t>
            </w:r>
          </w:p>
        </w:tc>
        <w:tc>
          <w:tcPr>
            <w:tcW w:w="2168"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Catálogo de teléfonos a la venta.</w:t>
            </w:r>
          </w:p>
        </w:tc>
      </w:tr>
      <w:tr>
        <w:trPr>
          <w:cantSplit/>
        </w:trPr>
        <w:tc>
          <w:tcPr>
            <w:tcW w:w="1601"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comercializadora</w:t>
            </w:r>
          </w:p>
        </w:tc>
        <w:tc>
          <w:tcPr>
            <w:tcW w:w="169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FACTURA</w:t>
            </w:r>
          </w:p>
        </w:tc>
        <w:tc>
          <w:tcPr>
            <w:tcW w:w="3956"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NUM_FACTURA (PK), CEDULA, NOMBRE, FECHA, FORMA_PAGO, SUBTOTAL, DESCUENTO, TOTAL, COD_CREDITO</w:t>
            </w:r>
          </w:p>
        </w:tc>
        <w:tc>
          <w:tcPr>
            <w:tcW w:w="2168"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Ventas realizadas; COD_CREDITO solo en ventas a crédito.</w:t>
            </w:r>
          </w:p>
        </w:tc>
      </w:tr>
      <w:tr>
        <w:trPr>
          <w:cantSplit/>
        </w:trPr>
        <w:tc>
          <w:tcPr>
            <w:tcW w:w="1601"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comercializadora</w:t>
            </w:r>
          </w:p>
        </w:tc>
        <w:tc>
          <w:tcPr>
            <w:tcW w:w="169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DETALLE_FACTURA</w:t>
            </w:r>
          </w:p>
        </w:tc>
        <w:tc>
          <w:tcPr>
            <w:tcW w:w="3956"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NUM_FACTURA (PK, FK), COD_CELULAR (PK, FK), CANTIDAD, PRECIO_UNITARIO, SUBTOTAL</w:t>
            </w:r>
          </w:p>
        </w:tc>
        <w:tc>
          <w:tcPr>
            <w:tcW w:w="2168"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Teléfonos incluidos en cada factura.</w:t>
            </w:r>
          </w:p>
        </w:tc>
      </w:tr>
    </w:tbl>
    <w:p>
      <w:pPr>
        <w:spacing w:before="0" w:after="0"/>
      </w:pPr>
    </w:p>
    <w:p>
      <w:pPr>
        <w:spacing w:before="60" w:after="80" w:line="276" w:lineRule="auto"/>
        <w:jc w:val="both"/>
      </w:pPr>
      <w:r>
        <w:rPr>
          <w:rFonts w:ascii="Calibri" w:hAnsi="Calibri"/>
          <w:b w:val="0"/>
          <w:color w:val="000000"/>
          <w:sz w:val="22"/>
        </w:rPr>
        <w:t xml:space="preserve">Para un préstamo de </w:t>
      </w:r>
      <w:r>
        <w:rPr>
          <w:rFonts w:ascii="Calibri" w:hAnsi="Calibri"/>
          <w:b/>
          <w:color w:val="000000"/>
          <w:sz w:val="22"/>
        </w:rPr>
        <w:t xml:space="preserve">450.00</w:t>
      </w:r>
      <w:r>
        <w:rPr>
          <w:rFonts w:ascii="Calibri" w:hAnsi="Calibri"/>
          <w:b w:val="0"/>
          <w:color w:val="000000"/>
          <w:sz w:val="22"/>
        </w:rPr>
        <w:t xml:space="preserve"> a </w:t>
      </w:r>
      <w:r>
        <w:rPr>
          <w:rFonts w:ascii="Calibri" w:hAnsi="Calibri"/>
          <w:b/>
          <w:color w:val="000000"/>
          <w:sz w:val="22"/>
        </w:rPr>
        <w:t xml:space="preserve">6 cuotas</w:t>
      </w:r>
      <w:r>
        <w:rPr>
          <w:rFonts w:ascii="Calibri" w:hAnsi="Calibri"/>
          <w:b w:val="0"/>
          <w:color w:val="000000"/>
          <w:sz w:val="22"/>
        </w:rPr>
        <w:t xml:space="preserve"> con tasa anual del 16,5 % (tasa del período 16,5 % / 12 = 1,375 %), la cuota fija resultante es </w:t>
      </w:r>
      <w:r>
        <w:rPr>
          <w:rFonts w:ascii="Calibri" w:hAnsi="Calibri"/>
          <w:b/>
          <w:color w:val="000000"/>
          <w:sz w:val="22"/>
        </w:rPr>
        <w:t xml:space="preserve">78.65</w:t>
      </w:r>
      <w:r>
        <w:rPr>
          <w:rFonts w:ascii="Calibri" w:hAnsi="Calibri"/>
          <w:b w:val="0"/>
          <w:color w:val="000000"/>
          <w:sz w:val="22"/>
        </w:rPr>
        <w:t xml:space="preserve">:</w:t>
      </w: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35</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Ejemplo de tabla de amortización (verificación)</w:t>
      </w:r>
    </w:p>
    <w:tbl>
      <w:tblPr>
        <w:tblStyle w:val="Tablaconcuadrcula4-nfasis1"/>
        <w:tblW w:w="9420" w:type="dxa"/>
        <w:jc w:val="center"/>
        <w:tblLayout w:type="fixed"/>
        <w:tblLook w:val="04A0" w:firstRow="1" w:lastRow="0" w:firstColumn="1" w:lastColumn="0" w:noHBand="0" w:noVBand="1"/>
      </w:tblPr>
      <w:tblGrid>
        <w:gridCol w:w="1884"/>
        <w:gridCol w:w="1884"/>
        <w:gridCol w:w="1884"/>
        <w:gridCol w:w="1884"/>
        <w:gridCol w:w="1884"/>
      </w:tblGrid>
      <w:tr>
        <w:trPr>
          <w:cantSplit/>
          <w:tblHeader/>
        </w:trPr>
        <w:tc>
          <w:tcPr>
            <w:tcW w:w="1884"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 Cuota</w:t>
            </w:r>
          </w:p>
        </w:tc>
        <w:tc>
          <w:tcPr>
            <w:tcW w:w="1884"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Valor Cuota</w:t>
            </w:r>
          </w:p>
        </w:tc>
        <w:tc>
          <w:tcPr>
            <w:tcW w:w="1884"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Interés Pagado</w:t>
            </w:r>
          </w:p>
        </w:tc>
        <w:tc>
          <w:tcPr>
            <w:tcW w:w="1884"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Capital Pagado</w:t>
            </w:r>
          </w:p>
        </w:tc>
        <w:tc>
          <w:tcPr>
            <w:tcW w:w="1884"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Saldo</w:t>
            </w:r>
          </w:p>
        </w:tc>
      </w:tr>
      <w:tr>
        <w:trPr>
          <w:cantSplit/>
        </w:trPr>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0</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450.00</w:t>
            </w:r>
          </w:p>
        </w:tc>
      </w:tr>
      <w:tr>
        <w:trPr>
          <w:cantSplit/>
        </w:trPr>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1</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78.65</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6.19</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72.46</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377.54</w:t>
            </w:r>
          </w:p>
        </w:tc>
      </w:tr>
      <w:tr>
        <w:trPr>
          <w:cantSplit/>
        </w:trPr>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2</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78.65</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5.19</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73.46</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304.08</w:t>
            </w:r>
          </w:p>
        </w:tc>
      </w:tr>
      <w:tr>
        <w:trPr>
          <w:cantSplit/>
        </w:trPr>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3</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78.65</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4.18</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74.47</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229.61</w:t>
            </w:r>
          </w:p>
        </w:tc>
      </w:tr>
      <w:tr>
        <w:trPr>
          <w:cantSplit/>
        </w:trPr>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4</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78.65</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3.16</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75.49</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154.12</w:t>
            </w:r>
          </w:p>
        </w:tc>
      </w:tr>
      <w:tr>
        <w:trPr>
          <w:cantSplit/>
        </w:trPr>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5</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78.65</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2.12</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76.53</w:t>
            </w:r>
          </w:p>
        </w:tc>
        <w:tc>
          <w:tcPr>
            <w:tcW w:w="1884"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77.59</w:t>
            </w:r>
          </w:p>
        </w:tc>
      </w:tr>
      <w:tr>
        <w:trPr>
          <w:cantSplit/>
        </w:trPr>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6</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78.66</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1.07</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77.59</w:t>
            </w:r>
          </w:p>
        </w:tc>
        <w:tc>
          <w:tcPr>
            <w:tcW w:w="1884"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0.00</w:t>
            </w:r>
          </w:p>
        </w:tc>
      </w:tr>
    </w:tbl>
    <w:p>
      <w:pPr>
        <w:spacing w:before="0" w:after="0"/>
      </w:pPr>
    </w:p>
    <w:p>
      <w:pPr>
        <w:pStyle w:val="Descripcin"/>
        <w:spacing w:before="60" w:after="80" w:line="276" w:lineRule="auto"/>
        <w:jc w:val="left"/>
        <w:rPr>
          <w:rFonts w:ascii="Calibri" w:hAnsi="Calibri"/>
          <w:b/>
          <w:color w:val="000000"/>
          <w:sz w:val="21"/>
        </w:rPr>
      </w:pPr>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 xml:space="preserve">36</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 xml:space="preserve">Matriz de trazabilidad entre requisitos y componentes</w:t>
      </w:r>
    </w:p>
    <w:tbl>
      <w:tblPr>
        <w:tblStyle w:val="Tablaconcuadrcula4-nfasis1"/>
        <w:tblW w:w="9420" w:type="dxa"/>
        <w:jc w:val="center"/>
        <w:tblLayout w:type="fixed"/>
        <w:tblLook w:val="04A0" w:firstRow="1" w:lastRow="0" w:firstColumn="1" w:lastColumn="0" w:noHBand="0" w:noVBand="1"/>
      </w:tblPr>
      <w:tblGrid>
        <w:gridCol w:w="1601"/>
        <w:gridCol w:w="1130"/>
        <w:gridCol w:w="2355"/>
        <w:gridCol w:w="2072"/>
        <w:gridCol w:w="2262"/>
      </w:tblGrid>
      <w:tr>
        <w:trPr>
          <w:cantSplit/>
          <w:tblHeader/>
        </w:trPr>
        <w:tc>
          <w:tcPr>
            <w:tcW w:w="1601"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Requisito</w:t>
            </w:r>
          </w:p>
        </w:tc>
        <w:tc>
          <w:tcPr>
            <w:tcW w:w="1130"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Caso de uso</w:t>
            </w:r>
          </w:p>
        </w:tc>
        <w:tc>
          <w:tcPr>
            <w:tcW w:w="2355"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Operación SOAP</w:t>
            </w:r>
          </w:p>
        </w:tc>
        <w:tc>
          <w:tcPr>
            <w:tcW w:w="2072"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Componente</w:t>
            </w:r>
          </w:p>
        </w:tc>
        <w:tc>
          <w:tcPr>
            <w:tcW w:w="2262" w:type="dxa"/>
            <w:shd w:val="clear" w:color="auto" w:fill="1F4E79"/>
            <w:tcMar>
              <w:top w:w="120" w:type="dxa"/>
              <w:bottom w:w="120" w:type="dxa"/>
              <w:left w:w="140" w:type="dxa"/>
              <w:right w:w="140" w:type="dxa"/>
            </w:tcMar>
          </w:tcPr>
          <w:p>
            <w:pPr>
              <w:spacing w:before="0" w:after="0"/>
              <w:jc w:val="center"/>
            </w:pPr>
            <w:r>
              <w:rPr>
                <w:rFonts w:ascii="Calibri" w:hAnsi="Calibri" w:cs="Calibri"/>
                <w:b/>
                <w:color w:val="FFFFFF"/>
                <w:sz w:val="19"/>
              </w:rPr>
              <w:t xml:space="preserve">Evidencia</w:t>
            </w:r>
          </w:p>
        </w:tc>
      </w:tr>
      <w:tr>
        <w:trPr>
          <w:cantSplit/>
        </w:trPr>
        <w:tc>
          <w:tcPr>
            <w:tcW w:w="1601"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RF-01</w:t>
            </w:r>
          </w:p>
        </w:tc>
        <w:tc>
          <w:tcPr>
            <w:tcW w:w="113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CU-01</w:t>
            </w:r>
          </w:p>
        </w:tc>
        <w:tc>
          <w:tcPr>
            <w:tcW w:w="235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verificarSujetoCredito()</w:t>
            </w:r>
          </w:p>
        </w:tc>
        <w:tc>
          <w:tcPr>
            <w:tcW w:w="207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WS_BanQuito_SOAP</w:t>
            </w:r>
          </w:p>
        </w:tc>
        <w:tc>
          <w:tcPr>
            <w:tcW w:w="226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Clientes que cumplen y que incumplen cada regla.</w:t>
            </w:r>
          </w:p>
        </w:tc>
      </w:tr>
      <w:tr>
        <w:trPr>
          <w:cantSplit/>
        </w:trPr>
        <w:tc>
          <w:tcPr>
            <w:tcW w:w="1601"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RF-02</w:t>
            </w:r>
          </w:p>
        </w:tc>
        <w:tc>
          <w:tcPr>
            <w:tcW w:w="113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CU-02</w:t>
            </w:r>
          </w:p>
        </w:tc>
        <w:tc>
          <w:tcPr>
            <w:tcW w:w="235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obtenerMontoMaximo()</w:t>
            </w:r>
          </w:p>
        </w:tc>
        <w:tc>
          <w:tcPr>
            <w:tcW w:w="207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WS_BanQuito_SOAP</w:t>
            </w:r>
          </w:p>
        </w:tc>
        <w:tc>
          <w:tcPr>
            <w:tcW w:w="226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Monto calculado frente a un cálculo manual.</w:t>
            </w:r>
          </w:p>
        </w:tc>
      </w:tr>
      <w:tr>
        <w:trPr>
          <w:cantSplit/>
        </w:trPr>
        <w:tc>
          <w:tcPr>
            <w:tcW w:w="1601"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RF-03 / RNF-005</w:t>
            </w:r>
          </w:p>
        </w:tc>
        <w:tc>
          <w:tcPr>
            <w:tcW w:w="113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CU-03</w:t>
            </w:r>
          </w:p>
        </w:tc>
        <w:tc>
          <w:tcPr>
            <w:tcW w:w="235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otorgarCredito()</w:t>
            </w:r>
          </w:p>
        </w:tc>
        <w:tc>
          <w:tcPr>
            <w:tcW w:w="207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WS_BanQuito_SOAP</w:t>
            </w:r>
          </w:p>
        </w:tc>
        <w:tc>
          <w:tcPr>
            <w:tcW w:w="226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Crédito y cuotas registrados en MySQL.</w:t>
            </w:r>
          </w:p>
        </w:tc>
      </w:tr>
      <w:tr>
        <w:trPr>
          <w:cantSplit/>
        </w:trPr>
        <w:tc>
          <w:tcPr>
            <w:tcW w:w="1601"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RF-04 / RNF-006</w:t>
            </w:r>
          </w:p>
        </w:tc>
        <w:tc>
          <w:tcPr>
            <w:tcW w:w="113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CU-04</w:t>
            </w:r>
          </w:p>
        </w:tc>
        <w:tc>
          <w:tcPr>
            <w:tcW w:w="235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consultarTablaAmortizacion()</w:t>
            </w:r>
          </w:p>
        </w:tc>
        <w:tc>
          <w:tcPr>
            <w:tcW w:w="207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WS_BanQuito_SOAP</w:t>
            </w:r>
          </w:p>
        </w:tc>
        <w:tc>
          <w:tcPr>
            <w:tcW w:w="226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Tabla igual a la función PAGO de Excel.</w:t>
            </w:r>
          </w:p>
        </w:tc>
      </w:tr>
      <w:tr>
        <w:trPr>
          <w:cantSplit/>
        </w:trPr>
        <w:tc>
          <w:tcPr>
            <w:tcW w:w="1601" w:type="dxa"/>
            <w:shd w:val="clear" w:color="auto" w:fill="F9FBFD"/>
            <w:tcMar>
              <w:top w:w="80" w:type="dxa"/>
              <w:bottom w:w="80" w:type="dxa"/>
              <w:left w:w="120" w:type="dxa"/>
              <w:right w:w="120" w:type="dxa"/>
            </w:tcMar>
          </w:tcPr>
          <w:p>
            <w:pPr/>
            <w:r/>
            <w:r>
              <w:rPr>
                <w:rFonts w:ascii="Calibri" w:hAnsi="Calibri"/>
                <w:b w:val="0"/>
                <w:sz w:val="19"/>
              </w:rPr>
              <w:t>RF-05</w:t>
            </w:r>
          </w:p>
        </w:tc>
        <w:tc>
          <w:tcPr>
            <w:tcW w:w="1130" w:type="dxa"/>
            <w:shd w:val="clear" w:color="auto" w:fill="F9FBFD"/>
            <w:tcMar>
              <w:top w:w="80" w:type="dxa"/>
              <w:bottom w:w="80" w:type="dxa"/>
              <w:left w:w="120" w:type="dxa"/>
              <w:right w:w="120" w:type="dxa"/>
            </w:tcMar>
          </w:tcPr>
          <w:p>
            <w:pPr/>
            <w:r/>
            <w:r>
              <w:rPr>
                <w:rFonts w:ascii="Calibri" w:hAnsi="Calibri"/>
                <w:b w:val="0"/>
                <w:sz w:val="19"/>
              </w:rPr>
              <w:t>CU-05</w:t>
            </w:r>
          </w:p>
        </w:tc>
        <w:tc>
          <w:tcPr>
            <w:tcW w:w="2355" w:type="dxa"/>
            <w:shd w:val="clear" w:color="auto" w:fill="F9FBFD"/>
            <w:tcMar>
              <w:top w:w="80" w:type="dxa"/>
              <w:bottom w:w="80" w:type="dxa"/>
              <w:left w:w="120" w:type="dxa"/>
              <w:right w:w="120" w:type="dxa"/>
            </w:tcMar>
          </w:tcPr>
          <w:p>
            <w:pPr/>
            <w:r/>
            <w:r>
              <w:rPr>
                <w:rFonts w:ascii="Calibri" w:hAnsi="Calibri"/>
                <w:b w:val="0"/>
                <w:sz w:val="19"/>
              </w:rPr>
              <w:t>crearCelular(), listarCelulares(), obtenerCelular(), actualizarCelular(), eliminarCelular()</w:t>
            </w:r>
          </w:p>
        </w:tc>
        <w:tc>
          <w:tcPr>
            <w:tcW w:w="2072" w:type="dxa"/>
            <w:shd w:val="clear" w:color="auto" w:fill="F9FBFD"/>
            <w:tcMar>
              <w:top w:w="80" w:type="dxa"/>
              <w:bottom w:w="80" w:type="dxa"/>
              <w:left w:w="120" w:type="dxa"/>
              <w:right w:w="120" w:type="dxa"/>
            </w:tcMar>
          </w:tcPr>
          <w:p>
            <w:pPr/>
            <w:r/>
            <w:r>
              <w:rPr>
                <w:rFonts w:ascii="Calibri" w:hAnsi="Calibri"/>
                <w:b w:val="0"/>
                <w:sz w:val="19"/>
              </w:rPr>
              <w:t>WS_Comercializadora_SOAP</w:t>
            </w:r>
          </w:p>
        </w:tc>
        <w:tc>
          <w:tcPr>
            <w:tcW w:w="2262" w:type="dxa"/>
            <w:shd w:val="clear" w:color="auto" w:fill="F9FBFD"/>
            <w:tcMar>
              <w:top w:w="80" w:type="dxa"/>
              <w:bottom w:w="80" w:type="dxa"/>
              <w:left w:w="120" w:type="dxa"/>
              <w:right w:w="120" w:type="dxa"/>
            </w:tcMar>
          </w:tcPr>
          <w:p>
            <w:pPr/>
            <w:r/>
            <w:r>
              <w:rPr>
                <w:rFonts w:ascii="Calibri" w:hAnsi="Calibri"/>
                <w:b w:val="0"/>
                <w:sz w:val="19"/>
              </w:rPr>
              <w:t>Operaciones CRUD completas del catálogo operativas y reflejadas en los cuatro clientes (Consola, Swing, JSP y Android).</w:t>
            </w:r>
          </w:p>
        </w:tc>
      </w:tr>
      <w:tr>
        <w:trPr>
          <w:cantSplit/>
        </w:trPr>
        <w:tc>
          <w:tcPr>
            <w:tcW w:w="1601" w:type="dxa"/>
            <w:shd w:val="clear" w:color="auto" w:fill="FFFFFF"/>
            <w:tcMar>
              <w:top w:w="80" w:type="dxa"/>
              <w:bottom w:w="80" w:type="dxa"/>
              <w:left w:w="120" w:type="dxa"/>
              <w:right w:w="120" w:type="dxa"/>
            </w:tcMar>
          </w:tcPr>
          <w:p>
            <w:pPr>
              <w:spacing w:before="0" w:after="0"/>
              <w:jc w:val="left"/>
            </w:pPr>
            <w:r>
              <w:rPr>
                <w:rFonts w:ascii="Calibri" w:hAnsi="Calibri" w:cs="Calibri"/>
                <w:b/>
                <w:color w:val="000000"/>
                <w:sz w:val="19"/>
              </w:rPr>
              <w:t xml:space="preserve">RF-06</w:t>
            </w:r>
          </w:p>
        </w:tc>
        <w:tc>
          <w:tcPr>
            <w:tcW w:w="1130"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CU-06</w:t>
            </w:r>
          </w:p>
        </w:tc>
        <w:tc>
          <w:tcPr>
            <w:tcW w:w="2355"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facturarEfectivo()</w:t>
            </w:r>
          </w:p>
        </w:tc>
        <w:tc>
          <w:tcPr>
            <w:tcW w:w="207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WS_Comercializadora_SOAP</w:t>
            </w:r>
          </w:p>
        </w:tc>
        <w:tc>
          <w:tcPr>
            <w:tcW w:w="2262" w:type="dxa"/>
            <w:shd w:val="clear" w:color="auto" w:fill="FFFFFF"/>
            <w:tcMar>
              <w:top w:w="80" w:type="dxa"/>
              <w:bottom w:w="80" w:type="dxa"/>
              <w:left w:w="120" w:type="dxa"/>
              <w:right w:w="120" w:type="dxa"/>
            </w:tcMar>
          </w:tcPr>
          <w:p>
            <w:pPr>
              <w:spacing w:before="0" w:after="0"/>
              <w:jc w:val="left"/>
            </w:pPr>
            <w:r>
              <w:rPr>
                <w:rFonts w:ascii="Calibri" w:hAnsi="Calibri" w:cs="Calibri"/>
                <w:b w:val="0"/>
                <w:color w:val="000000"/>
                <w:sz w:val="19"/>
              </w:rPr>
              <w:t xml:space="preserve">Factura con descuento del 42 % en los cuatro clientes.</w:t>
            </w:r>
          </w:p>
        </w:tc>
      </w:tr>
      <w:tr>
        <w:trPr>
          <w:cantSplit/>
        </w:trPr>
        <w:tc>
          <w:tcPr>
            <w:tcW w:w="1601" w:type="dxa"/>
            <w:shd w:val="clear" w:color="auto" w:fill="F9FBFD"/>
            <w:tcMar>
              <w:top w:w="80" w:type="dxa"/>
              <w:bottom w:w="80" w:type="dxa"/>
              <w:left w:w="120" w:type="dxa"/>
              <w:right w:w="120" w:type="dxa"/>
            </w:tcMar>
          </w:tcPr>
          <w:p>
            <w:pPr>
              <w:spacing w:before="0" w:after="0"/>
              <w:jc w:val="left"/>
            </w:pPr>
            <w:r>
              <w:rPr>
                <w:rFonts w:ascii="Calibri" w:hAnsi="Calibri" w:cs="Calibri"/>
                <w:b/>
                <w:color w:val="000000"/>
                <w:sz w:val="19"/>
              </w:rPr>
              <w:t xml:space="preserve">RF-07</w:t>
            </w:r>
          </w:p>
        </w:tc>
        <w:tc>
          <w:tcPr>
            <w:tcW w:w="1130"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CU-07</w:t>
            </w:r>
          </w:p>
        </w:tc>
        <w:tc>
          <w:tcPr>
            <w:tcW w:w="2355"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facturarCredito()</w:t>
            </w:r>
          </w:p>
        </w:tc>
        <w:tc>
          <w:tcPr>
            <w:tcW w:w="207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WS_Comercializadora_SOAP</w:t>
            </w:r>
          </w:p>
        </w:tc>
        <w:tc>
          <w:tcPr>
            <w:tcW w:w="2262" w:type="dxa"/>
            <w:shd w:val="clear" w:color="auto" w:fill="F9FBFD"/>
            <w:tcMar>
              <w:top w:w="80" w:type="dxa"/>
              <w:bottom w:w="80" w:type="dxa"/>
              <w:left w:w="120" w:type="dxa"/>
              <w:right w:w="120" w:type="dxa"/>
            </w:tcMar>
          </w:tcPr>
          <w:p>
            <w:pPr>
              <w:spacing w:before="0" w:after="0"/>
              <w:jc w:val="left"/>
            </w:pPr>
            <w:r>
              <w:rPr>
                <w:rFonts w:ascii="Calibri" w:hAnsi="Calibri" w:cs="Calibri"/>
                <w:b w:val="0"/>
                <w:color w:val="000000"/>
                <w:sz w:val="19"/>
              </w:rPr>
              <w:t xml:space="preserve">Factura aprobada y rechazada en los cuatro clientes.</w:t>
            </w:r>
          </w:p>
        </w:tc>
      </w:tr>
      <w:tr>
        <w:trPr>
          <w:cantSplit/>
        </w:trPr>
        <w:tc>
          <w:tcPr>
            <w:tcW w:w="1601" w:type="dxa"/>
            <w:shd w:val="clear" w:color="auto" w:fill="FFFFFF"/>
            <w:tcMar>
              <w:top w:w="80" w:type="dxa"/>
              <w:bottom w:w="80" w:type="dxa"/>
              <w:left w:w="120" w:type="dxa"/>
              <w:right w:w="120" w:type="dxa"/>
            </w:tcMar>
          </w:tcPr>
          <w:p>
            <w:pPr/>
            <w:r/>
            <w:r>
              <w:rPr>
                <w:rFonts w:ascii="Calibri" w:hAnsi="Calibri"/>
                <w:b w:val="0"/>
                <w:sz w:val="19"/>
              </w:rPr>
              <w:t>RF-08 / RNF-007</w:t>
            </w:r>
          </w:p>
        </w:tc>
        <w:tc>
          <w:tcPr>
            <w:tcW w:w="1130" w:type="dxa"/>
            <w:shd w:val="clear" w:color="auto" w:fill="FFFFFF"/>
            <w:tcMar>
              <w:top w:w="80" w:type="dxa"/>
              <w:bottom w:w="80" w:type="dxa"/>
              <w:left w:w="120" w:type="dxa"/>
              <w:right w:w="120" w:type="dxa"/>
            </w:tcMar>
          </w:tcPr>
          <w:p>
            <w:pPr/>
            <w:r/>
            <w:r>
              <w:rPr>
                <w:rFonts w:ascii="Calibri" w:hAnsi="Calibri"/>
                <w:b w:val="0"/>
                <w:sz w:val="19"/>
              </w:rPr>
              <w:t>CU-08</w:t>
            </w:r>
          </w:p>
        </w:tc>
        <w:tc>
          <w:tcPr>
            <w:tcW w:w="2355" w:type="dxa"/>
            <w:shd w:val="clear" w:color="auto" w:fill="FFFFFF"/>
            <w:tcMar>
              <w:top w:w="80" w:type="dxa"/>
              <w:bottom w:w="80" w:type="dxa"/>
              <w:left w:w="120" w:type="dxa"/>
              <w:right w:w="120" w:type="dxa"/>
            </w:tcMar>
          </w:tcPr>
          <w:p>
            <w:pPr/>
            <w:r/>
            <w:r>
              <w:rPr>
                <w:rFonts w:ascii="Calibri" w:hAnsi="Calibri"/>
                <w:b w:val="0"/>
                <w:sz w:val="19"/>
              </w:rPr>
              <w:t>consultarAmortizacion(), obtenerFactura()</w:t>
            </w:r>
          </w:p>
        </w:tc>
        <w:tc>
          <w:tcPr>
            <w:tcW w:w="2072" w:type="dxa"/>
            <w:shd w:val="clear" w:color="auto" w:fill="FFFFFF"/>
            <w:tcMar>
              <w:top w:w="80" w:type="dxa"/>
              <w:bottom w:w="80" w:type="dxa"/>
              <w:left w:w="120" w:type="dxa"/>
              <w:right w:w="120" w:type="dxa"/>
            </w:tcMar>
          </w:tcPr>
          <w:p>
            <w:pPr/>
            <w:r/>
            <w:r>
              <w:rPr>
                <w:rFonts w:ascii="Calibri" w:hAnsi="Calibri"/>
                <w:b w:val="0"/>
                <w:sz w:val="19"/>
              </w:rPr>
              <w:t>WS_Comercializadora_SOAP</w:t>
            </w:r>
          </w:p>
        </w:tc>
        <w:tc>
          <w:tcPr>
            <w:tcW w:w="2262" w:type="dxa"/>
            <w:shd w:val="clear" w:color="auto" w:fill="FFFFFF"/>
            <w:tcMar>
              <w:top w:w="80" w:type="dxa"/>
              <w:bottom w:w="80" w:type="dxa"/>
              <w:left w:w="120" w:type="dxa"/>
              <w:right w:w="120" w:type="dxa"/>
            </w:tcMar>
          </w:tcPr>
          <w:p>
            <w:pPr/>
            <w:r/>
            <w:r>
              <w:rPr>
                <w:rFonts w:ascii="Calibri" w:hAnsi="Calibri"/>
                <w:b w:val="0"/>
                <w:sz w:val="19"/>
              </w:rPr>
              <w:t>Factura y tabla de amortización mostradas en los cuatro clientes.</w:t>
            </w:r>
          </w:p>
        </w:tc>
      </w:tr>
    </w:tbl>
    <w:p>
      <w:pPr>
        <w:spacing w:before="0" w:after="0"/>
      </w:pPr>
    </w:p>
    <w:p>
      <w:pPr>
        <w:pStyle w:val="TtuloTDC"/>
        <w:spacing w:before="60" w:after="80" w:line="276" w:lineRule="auto"/>
        <w:jc w:val="left"/>
      </w:pPr>
      <w:r>
        <w:rPr>
          <w:rFonts w:ascii="Calibri" w:hAnsi="Calibri"/>
          <w:b/>
          <w:color w:val="000000"/>
          <w:sz w:val="24"/>
        </w:rPr>
        <w:t xml:space="preserve">CONCLUSIONES</w:t>
      </w:r>
    </w:p>
    <w:p>
      <w:pPr>
        <w:spacing w:before="60" w:after="80" w:line="276" w:lineRule="auto"/>
        <w:jc w:val="both"/>
      </w:pPr>
      <w:r>
        <w:rPr>
          <w:rFonts w:ascii="Calibri" w:hAnsi="Calibri"/>
          <w:b w:val="0"/>
          <w:color w:val="000000"/>
          <w:sz w:val="22"/>
        </w:rPr>
        <w:t xml:space="preserve">1. </w:t>
      </w:r>
      <w:r>
        <w:rPr>
          <w:rFonts w:ascii="Calibri" w:hAnsi="Calibri"/>
          <w:b/>
          <w:color w:val="000000"/>
          <w:sz w:val="22"/>
        </w:rPr>
        <w:t xml:space="preserve">Separación de responsabilidades:</w:t>
      </w:r>
      <w:r>
        <w:rPr>
          <w:rFonts w:ascii="Calibri" w:hAnsi="Calibri"/>
          <w:b w:val="0"/>
          <w:color w:val="000000"/>
          <w:sz w:val="22"/>
        </w:rPr>
        <w:t xml:space="preserve"> especificar el Core BanQuito como una aplicación que solo expone servicios, y a la comercializadora como su consumidor, permite que las reglas financieras residan en un único lugar y que ningún cliente ni la tienda accedan directamente a los datos del banco.</w:t>
      </w:r>
    </w:p>
    <w:p>
      <w:pPr>
        <w:spacing w:before="60" w:after="80" w:line="276" w:lineRule="auto"/>
        <w:jc w:val="both"/>
      </w:pPr>
      <w:r>
        <w:rPr>
          <w:rFonts w:ascii="Calibri" w:hAnsi="Calibri"/>
          <w:b w:val="0"/>
          <w:color w:val="000000"/>
          <w:sz w:val="22"/>
        </w:rPr>
        <w:t xml:space="preserve">2. </w:t>
      </w:r>
      <w:r>
        <w:rPr>
          <w:rFonts w:ascii="Calibri" w:hAnsi="Calibri"/>
          <w:b/>
          <w:color w:val="000000"/>
          <w:sz w:val="22"/>
        </w:rPr>
        <w:t xml:space="preserve">Reglas de negocio verificables:</w:t>
      </w:r>
      <w:r>
        <w:rPr>
          <w:rFonts w:ascii="Calibri" w:hAnsi="Calibri"/>
          <w:b w:val="0"/>
          <w:color w:val="000000"/>
          <w:sz w:val="22"/>
        </w:rPr>
        <w:t xml:space="preserve"> formalizar las reglas de sujeto de crédito, el monto máximo y la cuota fija como reglas codificadas (RN-01 a RN-09) facilita su implementación, sus pruebas y su defensa, y la tabla de ejemplo confirma que el cálculo coincide con la función PAGO de Excel.</w:t>
      </w:r>
    </w:p>
    <w:p>
      <w:pPr>
        <w:spacing w:before="60" w:after="80" w:line="276" w:lineRule="auto"/>
        <w:jc w:val="both"/>
      </w:pPr>
      <w:r>
        <w:rPr>
          <w:rFonts w:ascii="Calibri" w:hAnsi="Calibri"/>
          <w:b w:val="0"/>
          <w:color w:val="000000"/>
          <w:sz w:val="22"/>
        </w:rPr>
        <w:t xml:space="preserve">3. </w:t>
      </w:r>
      <w:r>
        <w:rPr>
          <w:rFonts w:ascii="Calibri" w:hAnsi="Calibri"/>
          <w:b/>
          <w:color w:val="000000"/>
          <w:sz w:val="22"/>
        </w:rPr>
        <w:t xml:space="preserve">Persistencia y consistencia:</w:t>
      </w:r>
      <w:r>
        <w:rPr>
          <w:rFonts w:ascii="Calibri" w:hAnsi="Calibri"/>
          <w:b w:val="0"/>
          <w:color w:val="000000"/>
          <w:sz w:val="22"/>
        </w:rPr>
        <w:t xml:space="preserve"> la definición de dos esquemas MySQL independientes y de operaciones transaccionales garantiza que un crédito nunca quede registrado sin su tabla de amortización ni una factura sin su detalle.</w:t>
      </w:r>
    </w:p>
    <w:p>
      <w:pPr>
        <w:spacing w:before="60" w:after="80" w:line="276" w:lineRule="auto"/>
        <w:jc w:val="both"/>
      </w:pPr>
      <w:r>
        <w:rPr>
          <w:rFonts w:ascii="Calibri" w:hAnsi="Calibri"/>
          <w:b w:val="0"/>
          <w:color w:val="000000"/>
          <w:sz w:val="22"/>
        </w:rPr>
        <w:t xml:space="preserve">4. </w:t>
      </w:r>
      <w:r>
        <w:rPr>
          <w:rFonts w:ascii="Calibri" w:hAnsi="Calibri"/>
          <w:b/>
          <w:color w:val="000000"/>
          <w:sz w:val="22"/>
        </w:rPr>
        <w:t xml:space="preserve">Supuestos explícitos:</w:t>
      </w:r>
      <w:r>
        <w:rPr>
          <w:rFonts w:ascii="Calibri" w:hAnsi="Calibri"/>
          <w:b w:val="0"/>
          <w:color w:val="000000"/>
          <w:sz w:val="22"/>
        </w:rPr>
        <w:t xml:space="preserve"> documentar las ambigüedades del enunciado (porcentaje del monto máximo, cálculo de promedios y relación entre cédula y código de cliente) reduce el riesgo de interpretaciones distintas durante el desarrollo y la evaluación.</w:t>
      </w:r>
    </w:p>
    <w:p>
      <w:pPr>
        <w:pStyle w:val="TtuloTDC"/>
        <w:spacing w:before="60" w:after="80" w:line="276" w:lineRule="auto"/>
        <w:jc w:val="left"/>
      </w:pPr>
      <w:r>
        <w:rPr>
          <w:rFonts w:ascii="Calibri" w:hAnsi="Calibri"/>
          <w:b/>
          <w:color w:val="000000"/>
          <w:sz w:val="24"/>
        </w:rPr>
        <w:t xml:space="preserve">RECOMENDACIONES</w:t>
      </w:r>
    </w:p>
    <w:p>
      <w:pPr>
        <w:spacing w:before="60" w:after="80" w:line="276" w:lineRule="auto"/>
        <w:jc w:val="both"/>
      </w:pPr>
      <w:r>
        <w:rPr>
          <w:rFonts w:ascii="Calibri" w:hAnsi="Calibri"/>
          <w:b w:val="0"/>
          <w:color w:val="000000"/>
          <w:sz w:val="22"/>
        </w:rPr>
        <w:t xml:space="preserve">1. </w:t>
      </w:r>
      <w:r>
        <w:rPr>
          <w:rFonts w:ascii="Calibri" w:hAnsi="Calibri"/>
          <w:b/>
          <w:color w:val="000000"/>
          <w:sz w:val="22"/>
        </w:rPr>
        <w:t xml:space="preserve">Validar los supuestos con el docente</w:t>
      </w:r>
      <w:r>
        <w:rPr>
          <w:rFonts w:ascii="Calibri" w:hAnsi="Calibri"/>
          <w:b w:val="0"/>
          <w:color w:val="000000"/>
          <w:sz w:val="22"/>
        </w:rPr>
        <w:t xml:space="preserve"> antes de iniciar el desarrollo, en especial el porcentaje del monto máximo y el alcance de “los cuatro clientes”.</w:t>
      </w:r>
    </w:p>
    <w:p>
      <w:pPr>
        <w:spacing w:before="60" w:after="80" w:line="276" w:lineRule="auto"/>
        <w:jc w:val="both"/>
      </w:pPr>
      <w:r>
        <w:rPr>
          <w:rFonts w:ascii="Calibri" w:hAnsi="Calibri"/>
          <w:b w:val="0"/>
          <w:color w:val="000000"/>
          <w:sz w:val="22"/>
        </w:rPr>
        <w:t xml:space="preserve">2. </w:t>
      </w:r>
      <w:r>
        <w:rPr>
          <w:rFonts w:ascii="Calibri" w:hAnsi="Calibri"/>
          <w:b/>
          <w:color w:val="000000"/>
          <w:sz w:val="22"/>
        </w:rPr>
        <w:t xml:space="preserve">Preparar datos de prueba representativos</w:t>
      </w:r>
      <w:r>
        <w:rPr>
          <w:rFonts w:ascii="Calibri" w:hAnsi="Calibri"/>
          <w:b w:val="0"/>
          <w:color w:val="000000"/>
          <w:sz w:val="22"/>
        </w:rPr>
        <w:t xml:space="preserve"> en el Core, de modo que existan clientes que cumplan todas las reglas y clientes que incumplan cada una, para demostrar ambos caminos ante el tribunal.</w:t>
      </w:r>
    </w:p>
    <w:p>
      <w:pPr>
        <w:spacing w:before="60" w:after="80" w:line="276" w:lineRule="auto"/>
        <w:jc w:val="both"/>
      </w:pPr>
      <w:r>
        <w:rPr>
          <w:rFonts w:ascii="Calibri" w:hAnsi="Calibri"/>
          <w:b w:val="0"/>
          <w:color w:val="000000"/>
          <w:sz w:val="22"/>
        </w:rPr>
        <w:t xml:space="preserve">3. </w:t>
      </w:r>
      <w:r>
        <w:rPr>
          <w:rFonts w:ascii="Calibri" w:hAnsi="Calibri"/>
          <w:b/>
          <w:color w:val="000000"/>
          <w:sz w:val="22"/>
        </w:rPr>
        <w:t xml:space="preserve">Proteger los servicios en un entorno productivo</w:t>
      </w:r>
      <w:r>
        <w:rPr>
          <w:rFonts w:ascii="Calibri" w:hAnsi="Calibri"/>
          <w:b w:val="0"/>
          <w:color w:val="000000"/>
          <w:sz w:val="22"/>
        </w:rPr>
        <w:t xml:space="preserve"> con HTTPS y autenticación entre la comercializadora y el banco, ya que en este alcance el Core no exige credenciales a su consumidor.</w:t>
      </w:r>
    </w:p>
    <w:p>
      <w:pPr>
        <w:pStyle w:val="TtuloTDC"/>
        <w:spacing w:before="60" w:after="80" w:line="276" w:lineRule="auto"/>
        <w:jc w:val="left"/>
      </w:pPr>
      <w:r>
        <w:rPr>
          <w:rFonts w:ascii="Calibri" w:hAnsi="Calibri"/>
          <w:b/>
          <w:color w:val="000000"/>
          <w:sz w:val="24"/>
        </w:rPr>
        <w:t xml:space="preserve">BIBLIOGRAFÍA</w:t>
      </w:r>
    </w:p>
    <w:p>
      <w:pPr>
        <w:spacing w:before="60" w:after="80" w:line="276" w:lineRule="auto"/>
        <w:jc w:val="both"/>
      </w:pPr>
      <w:r>
        <w:rPr>
          <w:rFonts w:ascii="Calibri" w:hAnsi="Calibri"/>
          <w:b w:val="0"/>
          <w:color w:val="000000"/>
          <w:sz w:val="22"/>
        </w:rPr>
        <w:t xml:space="preserve">IEEE. (1998). IEEE Std 830-1998: Recommended Practice for Software Requirements Specifications. IEEE Computer Society.</w:t>
      </w:r>
    </w:p>
    <w:p>
      <w:pPr>
        <w:spacing w:before="60" w:after="80" w:line="276" w:lineRule="auto"/>
        <w:jc w:val="both"/>
      </w:pPr>
      <w:r>
        <w:rPr>
          <w:rFonts w:ascii="Calibri" w:hAnsi="Calibri"/>
          <w:b w:val="0"/>
          <w:color w:val="000000"/>
          <w:sz w:val="22"/>
        </w:rPr>
        <w:t xml:space="preserve">Eclipse Foundation. (2022). Jakarta XML Web Services 4.0. https://jakarta.ee/specifications/xml-web-services/4.0/</w:t>
      </w:r>
    </w:p>
    <w:p>
      <w:pPr>
        <w:spacing w:before="60" w:after="80" w:line="276" w:lineRule="auto"/>
        <w:jc w:val="both"/>
      </w:pPr>
      <w:r>
        <w:rPr>
          <w:rFonts w:ascii="Calibri" w:hAnsi="Calibri"/>
          <w:b w:val="0"/>
          <w:color w:val="000000"/>
          <w:sz w:val="22"/>
        </w:rPr>
        <w:t xml:space="preserve">Oracle. (2024). MySQL 8.4 Reference Manual. https://dev.mysql.com/doc/refman/8.4/en/</w:t>
      </w:r>
    </w:p>
    <w:p>
      <w:pPr>
        <w:spacing w:before="60" w:after="80" w:line="276" w:lineRule="auto"/>
        <w:jc w:val="both"/>
      </w:pPr>
      <w:r>
        <w:rPr>
          <w:rFonts w:ascii="Calibri" w:hAnsi="Calibri"/>
          <w:b w:val="0"/>
          <w:color w:val="000000"/>
          <w:sz w:val="22"/>
        </w:rPr>
        <w:t xml:space="preserve">Erl, T. (2016). Service-Oriented Architecture: Analysis and Design for Services and Microservices (2.ª ed.). Prentice Hall.</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updateFields w:val="true"/>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Lissette Tituaña Moreno; Gustavo Stiven Molina Guaico</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