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PACIENTE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Número.de.Protocolo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Fecha.de.recepción.de.la.muestra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Tipo.de.muestra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36919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---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01/07/2019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---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itre2"/>
      </w:pPr>
      <w:r>
        <w:t xml:space="preserve">ANÁLISIS</w:t>
      </w:r>
    </w:p>
    <w:p>
      <w:pPr>
        <w:pStyle w:val="Titre3"/>
      </w:pPr>
      <w:r>
        <w:t xml:space="preserve">Tipo de estudio</w:t>
      </w:r>
    </w:p>
    <w:p>
      <w:pPr>
        <w:pStyle w:val="Normal"/>
      </w:pPr>
      <w:r>
        <w:t xml:space="preserve">Secuenciación masiva de ARN total obtenido de tejido tumoral congelado.</w:t>
      </w:r>
    </w:p>
    <w:p>
      <w:pPr>
        <w:pStyle w:val="Titre3"/>
      </w:pPr>
      <w:r>
        <w:t xml:space="preserve">Metodología</w:t>
      </w:r>
    </w:p>
    <w:p>
      <w:pPr>
        <w:pStyle w:val="Normal"/>
      </w:pPr>
      <w:r>
        <w:t xml:space="preserve">Las muestras se prepararon de acuerdo a las guías de preparación del kit TruSeq Stranded Total RNA LT. Las bibliotecas fueron secuenciadas con el secuenciador de la plataforma NovaSeq 6000.</w:t>
      </w:r>
    </w:p>
    <w:p>
      <w:pPr>
        <w:pStyle w:val="Titre3"/>
      </w:pPr>
      <w:r>
        <w:t xml:space="preserve">Softwares utilizados</w:t>
      </w:r>
    </w:p>
    <w:p>
      <w:pPr>
        <w:pStyle w:val="Normal"/>
      </w:pPr>
      <w:r>
        <w:t xml:space="preserve">Para el análisis de los datos de secuenciación se utilizaron los siguientes programas:
1. FastQC v0.11.7 (http://www.bioinformatics.babraham.ac.uk/projects/fastqc/)
2. TrimGalore  v0.6.10
3. STAR v2.7.11a
4. ARRIBA v2.4.0
Para realizar el mapeo de las lecturas se utilizó como referencia el hg38 de Ensembl.</w:t>
      </w:r>
    </w:p>
    <w:p>
      <w:pPr>
        <w:pStyle w:val="Titre2"/>
      </w:pPr>
      <w:r>
        <w:t xml:space="preserve">Quality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Metrica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Fuente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Q_Mean_R1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Secuenciación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%_&gt;=Q30_R1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Secuenciación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Q_Mean_R2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Secuenciación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%_&gt;=Q30_R2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Secuenciación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Number of input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58,792,011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Alineamiento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Average input read 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Alineamiento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Uniquely mapped reads 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54,730,506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Alineamiento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Uniquely mapped reads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Alineamiento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Average mapped length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QC Alineamiento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itre3"/>
      </w:pPr>
      <w:r>
        <w:t xml:space="preserve">RESULTADOS</w:t>
      </w:r>
    </w:p>
    <w:p>
      <w:pPr>
        <w:pStyle w:val="Titre2"/>
      </w:pPr>
      <w:r>
        <w:t xml:space="preserve">Fusion 1: LINC03051 - LSAMP</w:t>
      </w:r>
    </w:p>
    <w:p>
      <w:pPr>
        <w:pStyle w:val="Normal"/>
      </w:pPr>
      <w:r>
        <w:t xml:space="preserve">Transcript 1: ENST00000484092</w:t>
      </w:r>
    </w:p>
    <w:p>
      <w:pPr>
        <w:pStyle w:val="Normal"/>
      </w:pPr>
      <w:r>
        <w:t xml:space="preserve">Transcript 2: ENST00000474851</w:t>
      </w:r>
    </w:p>
    <w:p>
      <w:pPr>
        <w:pStyle w:val="Normal"/>
      </w:pPr>
      <w:r>
        <w:t xml:space="preserve">Peptide sequence: .</w:t>
      </w:r>
    </w:p>
    <w:p>
      <w:pPr>
        <w:pStyle w:val="Titre3"/>
      </w:pPr>
      <w:r>
        <w:t xml:space="preserve">Drugs for Gene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gene_name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drug_name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LINC03051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 drugs approved for this gene</w:t>
            </w:r>
          </w:p>
        </w:tc>
      </w:tr>
    </w:tbl>
    <w:p>
      <w:pPr>
        <w:pStyle w:val="Titre3"/>
      </w:pPr>
      <w:r>
        <w:t xml:space="preserve">Drugs for Gene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gene_name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drug_name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LSAMP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 drugs approved for this gene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itre2"/>
      </w:pPr>
      <w:r>
        <w:t xml:space="preserve">Fusion 2: KIAA1549 - BRAF</w:t>
      </w:r>
    </w:p>
    <w:p>
      <w:pPr>
        <w:pStyle w:val="Normal"/>
      </w:pPr>
      <w:r>
        <w:t xml:space="preserve">Transcript 1: ENST00000422774</w:t>
      </w:r>
    </w:p>
    <w:p>
      <w:pPr>
        <w:pStyle w:val="Normal"/>
      </w:pPr>
      <w:r>
        <w:t xml:space="preserve">Transcript 2: ENST00000496384</w:t>
      </w:r>
    </w:p>
    <w:p>
      <w:pPr>
        <w:pStyle w:val="Normal"/>
      </w:pPr>
      <w:r>
        <w:t xml:space="preserve">Peptide sequence: PASTAGVGPGVPPGLPANSTPSQEERRATQWGSFYSPAQTANNPCS|DLIRDQGFRGDGGSTT</w:t>
      </w:r>
    </w:p>
    <w:p>
      <w:pPr>
        <w:pStyle w:val="Titre3"/>
      </w:pPr>
      <w:r>
        <w:t xml:space="preserve">Drugs for Gene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gene_name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drug_name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KIAA1549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 drugs approved for this gene</w:t>
            </w:r>
          </w:p>
        </w:tc>
      </w:tr>
    </w:tbl>
    <w:p>
      <w:pPr>
        <w:pStyle w:val="Titre3"/>
      </w:pPr>
      <w:r>
        <w:t xml:space="preserve">Drugs for Gene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drug_name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interaction_type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interaction_score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approved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anti_neoplastic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VEMURAFENIB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activator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1.657092009619794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VEMURAFENIB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1.657092009619794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DASATINIB ANHYDROUS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0.082115757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0.063440602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0.091636424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ENCORAFENIB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1.282909942931453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2.341819737097098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inhibitor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0.074975256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BOSUTINIB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0.023905154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0.091636424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VENETOCLAX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0.026181836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ENZALUTAMIDE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0.042293734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LEUCOVORIN CALCIUM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0.037149902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0.024256701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0.032616354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NERATINIB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0.05890913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CAPECITABINE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0.015272737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0.005912027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0.019636377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COBIMETINIB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0.4734548598913698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RUXOLITINIB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0.032342267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0.07330914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0.043406727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LENVATINIB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0.030545475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ROMIDEPSIN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0.019636377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TALAZOPARIB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0.02036365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IRINOTECAN HYDROCHLORIDE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0.043636393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VALPROIC ACID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0.009645939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0.030545475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AXITINIB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0.024991752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2.341819737097098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0.082472782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OLAPARIB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0.012495876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VORINOSTAT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0.014995051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0.007330914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VEMURAFENIB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1.657092009619794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FUTIBATINIB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0.049983504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0.042293734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TEMSIROLIMUS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0.063440602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DASATINIB ANHYDROUS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0.082115757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0.040230625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GILTERITINIB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0.028937818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BINIMETINIB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0.4948366922735607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DOXORUBICIN HYDROCHLORIDE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0.003665457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SELUMETINIB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0.2332563532602643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PONATINIB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0.021992742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DOXORUBICIN LIPOSOME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0.1374546367426557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RABEPRAZOLE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0.021146867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ALPELISIB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0.070690956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0.034363659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SAPANISERTIB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0.024991752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PALBOCICLIB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0.03366236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TIVOZANIB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0.06109095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RIBOCICLIB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0.030545475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TRAMETINIB DIMETHYL SULFOXIDE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1.336059069138614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ENCORAFENIB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1.282909942931453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PANOBINOSTAT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0.024991752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TORIPALIMAB-TPZI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0.1099637093941246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ABEMACICLIB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0.028937818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0.016171134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IDELALISIB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0.06109095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0.010573434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CELECOXIB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0.008206247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0.013860972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LAPATINIB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0.026604123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DENOSUMAB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0.1832728489902076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RUCAPARIB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0.024991752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REGORAFENIB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0.074975256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TRUE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Los datos de secuenciación quedarán disponibles para un posible pedido de re-análisis y búsqueda de fusiones en otros genes.</w:t>
      </w:r>
    </w:p>
    <w:p>
      <w:pPr>
        <w:pStyle w:val="Titre3"/>
      </w:pPr>
      <w:r>
        <w:t xml:space="preserve">INFORME</w:t>
      </w:r>
    </w:p>
    <w:p>
      <w:pPr>
        <w:pStyle w:val="Titre2"/>
      </w:pPr>
      <w:r>
        <w:t xml:space="preserve">Interpretación Clínica</w:t>
      </w:r>
    </w:p>
    <w:p>
      <w:pPr>
        <w:pStyle w:val="Normal"/>
      </w:pPr>
      <w:r>
        <w:t xml:space="preserve"> </w:t>
      </w:r>
    </w:p>
    <w:p>
      <w:pPr>
        <w:pStyle w:val="Titre2"/>
      </w:pPr>
      <w:r>
        <w:t xml:space="preserve">Limitaciones de la técnica</w:t>
      </w:r>
    </w:p>
    <w:p>
      <w:pPr>
        <w:pStyle w:val="Normal"/>
      </w:pPr>
      <w:r>
        <w:t xml:space="preserve">El análisis de fusiones mediante secuenciación de ARN no detecta inserciones o deleciones grandes, ni cambios en el número de copias (CNVs).
Un resultado negativo no descarta la presencia de fusiones o rearreglos que estén por debajo del límite de detección de la prueba.
La presencia de polimorfismos atípicos puede llevar a resultados que sean falsos positivos o negativos.</w:t>
      </w:r>
    </w:p>
    <w:p>
      <w:pPr>
        <w:pStyle w:val="Normal"/>
      </w:pPr>
      <w:r>
        <w:t xml:space="preserve"> </w:t>
      </w:r>
    </w:p>
    <w:p>
      <w:pPr>
        <w:pStyle w:val="Titre2"/>
      </w:pPr>
      <w:r>
        <w:t xml:space="preserve">Información adicional</w:t>
      </w:r>
    </w:p>
    <w:p>
      <w:pPr>
        <w:pStyle w:val="Normal"/>
      </w:pPr>
      <w:r>
        <w:t xml:space="preserve">Ensayos clínicos disponibles al día de la fecha pueden ser encontrados en los siguientes sitios:
1. ClinicalTrials.gov (www.clinicaltrials.gov)
2. Mayo Clinic (www.mayo.edu/research/clinical-trials)
3. National Cancer Institute (www.cancer.gov/clinicaltrials)</w:t>
      </w:r>
    </w:p>
    <w:p>
      <w:pPr>
        <w:pStyle w:val="Titre2"/>
      </w:pPr>
      <w:r>
        <w:t xml:space="preserve">Referencias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</cp:lastModifiedBy>
  <cp:revision>9</cp:revision>
  <dcterms:created xsi:type="dcterms:W3CDTF">2017-02-28T11:18:00Z</dcterms:created>
  <dcterms:modified xsi:type="dcterms:W3CDTF">2025-09-17T15:50:39Z</dcterms:modified>
  <cp:category/>
</cp:coreProperties>
</file>