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pruebas unitarias</w:t>
      </w:r>
    </w:p>
    <w:tbl>
      <w:tblPr>
        <w:tblStyle w:val="Tabladecuadrcula4"/>
        <w:tblW w:w="8899" w:type="dxa"/>
        <w:tblLook w:val="04A0" w:firstRow="1" w:lastRow="0" w:firstColumn="1" w:lastColumn="0" w:noHBand="0" w:noVBand="1"/>
      </w:tblPr>
      <w:tblGrid>
        <w:gridCol w:w="1439"/>
        <w:gridCol w:w="1417"/>
        <w:gridCol w:w="1705"/>
        <w:gridCol w:w="1439"/>
        <w:gridCol w:w="1410"/>
        <w:gridCol w:w="1489"/>
      </w:tblGrid>
      <w:tr w:rsidR="00A038F8" w:rsidTr="00A0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Entrada</w:t>
            </w:r>
          </w:p>
        </w:tc>
        <w:tc>
          <w:tcPr>
            <w:tcW w:w="1417" w:type="dxa"/>
            <w:vAlign w:val="center"/>
          </w:tcPr>
          <w:p w:rsid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Salida</w:t>
            </w:r>
          </w:p>
        </w:tc>
        <w:tc>
          <w:tcPr>
            <w:tcW w:w="1705" w:type="dxa"/>
            <w:vAlign w:val="center"/>
          </w:tcPr>
          <w:p w:rsid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  <w:tc>
          <w:tcPr>
            <w:tcW w:w="1439" w:type="dxa"/>
            <w:vAlign w:val="center"/>
          </w:tcPr>
          <w:p w:rsid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Nombre del Método</w:t>
            </w:r>
          </w:p>
        </w:tc>
        <w:tc>
          <w:tcPr>
            <w:tcW w:w="1410" w:type="dxa"/>
            <w:vAlign w:val="center"/>
          </w:tcPr>
          <w:p w:rsid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Clase</w:t>
            </w:r>
          </w:p>
        </w:tc>
        <w:tc>
          <w:tcPr>
            <w:tcW w:w="1489" w:type="dxa"/>
            <w:vAlign w:val="center"/>
          </w:tcPr>
          <w:p w:rsid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Escenario</w:t>
            </w: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true</w:t>
            </w:r>
          </w:p>
        </w:tc>
        <w:tc>
          <w:tcPr>
            <w:tcW w:w="1705" w:type="dxa"/>
            <w:vMerge w:val="restart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retorna true cuando</w:t>
            </w:r>
            <w:r>
              <w:rPr>
                <w:rFonts w:ascii="Arial" w:hAnsi="Arial" w:cs="Arial"/>
                <w:sz w:val="24"/>
              </w:rPr>
              <w:br/>
              <w:t>retorta false, en caso contrario.</w:t>
            </w:r>
          </w:p>
        </w:tc>
        <w:tc>
          <w:tcPr>
            <w:tcW w:w="1439" w:type="dxa"/>
            <w:vMerge w:val="restart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  <w:vMerge w:val="restart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CCCCCC" w:themeFill="text1" w:themeFillTint="33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  <w:shd w:val="clear" w:color="auto" w:fill="CCCCCC" w:themeFill="text1" w:themeFillTint="33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False</w:t>
            </w:r>
          </w:p>
        </w:tc>
        <w:tc>
          <w:tcPr>
            <w:tcW w:w="1705" w:type="dxa"/>
            <w:vMerge/>
            <w:shd w:val="clear" w:color="auto" w:fill="CCCCCC" w:themeFill="text1" w:themeFillTint="33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39" w:type="dxa"/>
            <w:vMerge/>
            <w:shd w:val="clear" w:color="auto" w:fill="CCCCCC" w:themeFill="text1" w:themeFillTint="33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  <w:vMerge/>
            <w:shd w:val="clear" w:color="auto" w:fill="CCCCCC" w:themeFill="text1" w:themeFillTint="33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  <w:vMerge/>
            <w:shd w:val="clear" w:color="auto" w:fill="CCCCCC" w:themeFill="text1" w:themeFillTint="33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05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39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05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39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05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39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05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39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417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05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39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10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9" w:type="dxa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D8" w:rsidRDefault="001730D8" w:rsidP="00A038F8">
      <w:pPr>
        <w:spacing w:after="0" w:line="240" w:lineRule="auto"/>
      </w:pPr>
      <w:r>
        <w:separator/>
      </w:r>
    </w:p>
  </w:endnote>
  <w:endnote w:type="continuationSeparator" w:id="0">
    <w:p w:rsidR="001730D8" w:rsidRDefault="001730D8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D8" w:rsidRDefault="001730D8" w:rsidP="00A038F8">
      <w:pPr>
        <w:spacing w:after="0" w:line="240" w:lineRule="auto"/>
      </w:pPr>
      <w:r>
        <w:separator/>
      </w:r>
    </w:p>
  </w:footnote>
  <w:footnote w:type="continuationSeparator" w:id="0">
    <w:p w:rsidR="001730D8" w:rsidRDefault="001730D8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1730D8"/>
    <w:rsid w:val="004D12D3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1">
    <w:name w:val="List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C861AC32-D689-48E9-8016-741927C9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1076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