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sz w:val="48"/>
          <w:szCs w:val="48"/>
          <w:rtl w:val="0"/>
        </w:rPr>
        <w:t xml:space="preserve">Mestrado Integrado em Engenharia de Computadores e Telemática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b w:val="1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Interação Humano-Computador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b w:val="1"/>
          <w:sz w:val="48"/>
          <w:szCs w:val="48"/>
        </w:rPr>
      </w:pPr>
      <w:r w:rsidDel="00000000" w:rsidR="00000000" w:rsidRPr="00000000">
        <w:drawing>
          <wp:inline distB="19050" distT="19050" distL="19050" distR="19050">
            <wp:extent cx="1950673" cy="7318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673" cy="73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aleway" w:cs="Raleway" w:eastAsia="Raleway" w:hAnsi="Raleway"/>
          <w:color w:val="bf9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color w:val="bf9000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color w:val="bf9000"/>
          <w:sz w:val="36"/>
          <w:szCs w:val="36"/>
          <w:rtl w:val="0"/>
        </w:rPr>
        <w:t xml:space="preserve">Relatório Final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color w:val="bf9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Cristiana Carvalho, 77682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Daniela Simões, 76771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aleway" w:cs="Raleway" w:eastAsia="Raleway" w:hAnsi="Raleway"/>
          <w:color w:val="bf9000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color w:val="bf9000"/>
          <w:sz w:val="36"/>
          <w:szCs w:val="36"/>
          <w:rtl w:val="0"/>
        </w:rPr>
        <w:t xml:space="preserve">Protótipo em papel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aleway" w:cs="Raleway" w:eastAsia="Raleway" w:hAnsi="Raleway"/>
          <w:color w:val="bf9000"/>
          <w:sz w:val="36"/>
          <w:szCs w:val="36"/>
        </w:rPr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descr="17858488_1619255058115321_918281647_o.jpg" id="4" name="image13.jpg"/>
            <a:graphic>
              <a:graphicData uri="http://schemas.openxmlformats.org/drawingml/2006/picture">
                <pic:pic>
                  <pic:nvPicPr>
                    <pic:cNvPr descr="17858488_1619255058115321_918281647_o.jpg" id="0" name="image1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Login.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descr="17902156_1619254881448672_969453033_o.jpg" id="11" name="image22.jpg"/>
            <a:graphic>
              <a:graphicData uri="http://schemas.openxmlformats.org/drawingml/2006/picture">
                <pic:pic>
                  <pic:nvPicPr>
                    <pic:cNvPr descr="17902156_1619254881448672_969453033_o.jpg" id="0" name="image2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Página inicial.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Página inicial ao clicar no menu.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Página da verificação de preço. Esta página surge quando se escolhe a opção “Verificar Preços” no menu.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10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Página de Prescrições ativas. Esta página surge quando se clica em “Prescrições ativas” na área do cliente.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Página do Histórico do Utente. Esta página surge quando se clica em “Histórico do Utente” no Menu.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8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Pop Up dos dados detalhados de determinada receita. Surge quando se clica em numa dada receita.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5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Página relativa aos dados do utente. Surge quando se clica em “Ver dados do utente” no menu.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7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Página relativa aos contactos dos fornecedores. Surge quando se clica em “Lista de contactos dos fornecedores” no menu.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9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Página relativa às encomendas realizadas que ainda estão em espera. Surge quando se clica em “Verificar encomendas realizadas” no menu.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12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Página de verificação do stock. Surge quando se clica em “Verificar Stock” no menu.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color w:val="bf9000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color w:val="bf9000"/>
          <w:sz w:val="36"/>
          <w:szCs w:val="36"/>
          <w:rtl w:val="0"/>
        </w:rPr>
        <w:t xml:space="preserve">Resultados dos testes de usabilidade do protótipo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No primeiro teste de usabilidade realizado, pedimos a dois colegas nossos - João Branquinho, 76543 e Ricardo Jesus, 76613 - que realizassem algumas operações: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Login;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Pesquisar histórico de preços;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Efetuar uma venda;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Pesquisar lista dos fornecedores;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Pesquisar histórico de vendas de determinado utente;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As principais conclusões sobre este primeiro teste de usabilidade: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Fazer pagina de criar utilizador;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Ao efetuar a venda, não se percebe bem onde clicar para terminar a operação;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Fazer um menu para o logout;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Não estava bem percetível aos utilizadores como poderiam verificar as prescrições pendentes dos utentes que estavam a realizar uma compra;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Também não era imediato saber que se podia registar utilizadores aquando o processamento de uma prescrição ou compra de um medicamento;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Necessário poder listar medicamentos para determinado efeito;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color w:val="bf9000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color w:val="bf9000"/>
          <w:sz w:val="36"/>
          <w:szCs w:val="36"/>
          <w:rtl w:val="0"/>
        </w:rPr>
        <w:t xml:space="preserve">Objetivos de usabilidade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Para a nossa aplicação do gestor de farmácias os nossos objetivos principais são fornecer ao utilizador uma interface que permite: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Controlar o stock de cada medicamento;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Registar utilizadores aquando o processamento de uma prescrição ou compra de um medicamento;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Histórico de prescrições por utente;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Lista de contactos de fornecedores;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Sistema de fidelização (SISTEMA DE PONTOS);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Histórico de encomendas e entregas de fornecedores;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Histórico de preços de um produto;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Listar medicamentos para determinado efeito;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color w:val="bf9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color w:val="bf9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20.jpg"/><Relationship Id="rId13" Type="http://schemas.openxmlformats.org/officeDocument/2006/relationships/image" Target="media/image14.jpg"/><Relationship Id="rId12" Type="http://schemas.openxmlformats.org/officeDocument/2006/relationships/image" Target="media/image18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jpg"/><Relationship Id="rId15" Type="http://schemas.openxmlformats.org/officeDocument/2006/relationships/image" Target="media/image19.jpg"/><Relationship Id="rId14" Type="http://schemas.openxmlformats.org/officeDocument/2006/relationships/image" Target="media/image17.jpg"/><Relationship Id="rId16" Type="http://schemas.openxmlformats.org/officeDocument/2006/relationships/image" Target="media/image24.jpg"/><Relationship Id="rId5" Type="http://schemas.openxmlformats.org/officeDocument/2006/relationships/image" Target="media/image12.png"/><Relationship Id="rId6" Type="http://schemas.openxmlformats.org/officeDocument/2006/relationships/image" Target="media/image13.jpg"/><Relationship Id="rId7" Type="http://schemas.openxmlformats.org/officeDocument/2006/relationships/image" Target="media/image22.jpg"/><Relationship Id="rId8" Type="http://schemas.openxmlformats.org/officeDocument/2006/relationships/image" Target="media/image1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