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40"/>
        <w:jc w:val="center"/>
      </w:pPr>
      <w:r>
        <w:rPr>
          <w:rFonts w:ascii="Times New Roman" w:cs="Times New Roman" w:eastAsia="Times New Roman" w:hAnsi="Times New Roman"/>
          <w:b/>
          <w:bCs/>
          <w:sz w:val="28"/>
          <w:szCs w:val="28"/>
        </w:rPr>
        <w:t xml:space="preserve">Process Injection Tespit Aracı: Savunmacı Tersine Mühendislik Yaklaşımı</w:t>
      </w:r>
    </w:p>
    <w:p>
      <w:pPr>
        <w:spacing w:after="10" w:line="240"/>
        <w:jc w:val="center"/>
      </w:pPr>
      <w:r>
        <w:rPr>
          <w:rFonts w:ascii="Times New Roman" w:cs="Times New Roman" w:eastAsia="Times New Roman" w:hAnsi="Times New Roman"/>
          <w:b/>
          <w:bCs/>
          <w:sz w:val="20"/>
          <w:szCs w:val="20"/>
        </w:rPr>
        <w:t xml:space="preserve">Daniel Eliikya Bolekimo</w:t>
      </w:r>
    </w:p>
    <w:p>
      <w:pPr>
        <w:spacing w:after="10" w:line="240"/>
        <w:jc w:val="center"/>
      </w:pPr>
      <w:r>
        <w:rPr>
          <w:rFonts w:ascii="Times New Roman" w:cs="Times New Roman" w:eastAsia="Times New Roman" w:hAnsi="Times New Roman"/>
          <w:i/>
          <w:iCs/>
          <w:sz w:val="20"/>
          <w:szCs w:val="20"/>
        </w:rPr>
        <w:t xml:space="preserve">Mühendislik ve Mimarlık Fakültesi, Bilgisayar Mühendisliği Bölümü</w:t>
      </w:r>
    </w:p>
    <w:p>
      <w:pPr>
        <w:spacing w:after="10" w:line="240"/>
        <w:jc w:val="center"/>
      </w:pPr>
      <w:r>
        <w:rPr>
          <w:rFonts w:ascii="Times New Roman" w:cs="Times New Roman" w:eastAsia="Times New Roman" w:hAnsi="Times New Roman"/>
          <w:i/>
          <w:iCs/>
          <w:sz w:val="20"/>
          <w:szCs w:val="20"/>
        </w:rPr>
        <w:t xml:space="preserve">Kastamonu Üniversitesi, Kastamonu, Türkiye</w:t>
      </w:r>
    </w:p>
    <w:p>
      <w:pPr>
        <w:spacing w:after="10" w:line="240"/>
        <w:jc w:val="center"/>
      </w:pPr>
      <w:r>
        <w:rPr>
          <w:rFonts w:ascii="Times New Roman" w:cs="Times New Roman" w:eastAsia="Times New Roman" w:hAnsi="Times New Roman"/>
          <w:sz w:val="20"/>
          <w:szCs w:val="20"/>
        </w:rPr>
        <w:t xml:space="preserve">Öğrenci No: 224410119</w:t>
      </w:r>
    </w:p>
    <w:p>
      <w:pPr>
        <w:spacing w:after="10" w:line="240"/>
        <w:jc w:val="center"/>
      </w:pPr>
      <w:r>
        <w:rPr>
          <w:rFonts w:ascii="Times New Roman" w:cs="Times New Roman" w:eastAsia="Times New Roman" w:hAnsi="Times New Roman"/>
          <w:i/>
          <w:iCs/>
          <w:sz w:val="20"/>
          <w:szCs w:val="20"/>
        </w:rPr>
        <w:t xml:space="preserve">danielblk14@gmail.com</w:t>
      </w:r>
    </w:p>
    <w:p>
      <w:pPr>
        <w:spacing w:after="160" w:line="240"/>
        <w:jc w:val="center"/>
      </w:pPr>
      <w:r>
        <w:rPr>
          <w:rFonts w:ascii="Times New Roman" w:cs="Times New Roman" w:eastAsia="Times New Roman" w:hAnsi="Times New Roman"/>
          <w:i/>
          <w:iCs/>
          <w:sz w:val="20"/>
          <w:szCs w:val="20"/>
        </w:rPr>
        <w:t xml:space="preserve">ORCID: 0009-0008-5684-0195</w:t>
      </w:r>
    </w:p>
    <w:p>
      <w:pPr>
        <w:spacing w:after="0" w:line="240"/>
        <w:jc w:val="both"/>
      </w:pPr>
      <w:r>
        <w:rPr>
          <w:rFonts w:ascii="Times New Roman" w:cs="Times New Roman" w:eastAsia="Times New Roman" w:hAnsi="Times New Roman"/>
          <w:b/>
          <w:bCs/>
          <w:i/>
          <w:iCs/>
          <w:sz w:val="18"/>
          <w:szCs w:val="18"/>
        </w:rPr>
        <w:t xml:space="preserve">Özet</w:t>
      </w:r>
      <w:r>
        <w:rPr>
          <w:rFonts w:ascii="Times New Roman" w:cs="Times New Roman" w:eastAsia="Times New Roman" w:hAnsi="Times New Roman"/>
          <w:sz w:val="18"/>
          <w:szCs w:val="18"/>
        </w:rPr>
        <w:t xml:space="preserve">—Bu çalışmada, Windows işletim sistemlerinde yaygın olarak kullanılan process injection saldırı tekniklerini gerçek zamanlı tespit etmeye yönelik bir güvenlik aracı geliştirilmiştir. DLL Injection, Process Hollowing, Shellcode Injection, Remote Thread Injection ve APC Injection olmak üzere beş temel saldırı vektörü ele alınmıştır. Her teknik için Windows API ve NT iç fonksiyonlarına dayanan özgün tespit algoritmaları tasarlanmıştır. Geliştirilen araç C++ ile OOP (Nesne Yönelimli Programlama) prensiplerine uygun olarak kodlanmış ve Visual Studio 2019 ortamında x64 mimarisi için derlenmiştir. Gerçek sistem üzerinde yapılan testlerde 82 tespit üretilmiş; 81'i HIGH, 1'i MEDIUM önem derecesinde sınıflandırılmıştır.</w:t>
      </w:r>
    </w:p>
    <w:p>
      <w:pPr>
        <w:spacing w:after="80" w:line="240"/>
        <w:jc w:val="both"/>
      </w:pPr>
      <w:r>
        <w:rPr>
          <w:rFonts w:ascii="Times New Roman" w:cs="Times New Roman" w:eastAsia="Times New Roman" w:hAnsi="Times New Roman"/>
          <w:b/>
          <w:bCs/>
          <w:i/>
          <w:iCs/>
          <w:sz w:val="18"/>
          <w:szCs w:val="18"/>
        </w:rPr>
        <w:t xml:space="preserve">Anahtar Kelimeler</w:t>
      </w:r>
      <w:r>
        <w:rPr>
          <w:rFonts w:ascii="Times New Roman" w:cs="Times New Roman" w:eastAsia="Times New Roman" w:hAnsi="Times New Roman"/>
          <w:sz w:val="18"/>
          <w:szCs w:val="18"/>
        </w:rPr>
        <w:t xml:space="preserve">—process injection; DLL injection; process hollowing; shellcode; tersine mühendislik; Windows güvenlik; OOP; C++</w:t>
      </w:r>
    </w:p>
    <w:p>
      <w:pPr>
        <w:spacing w:after="60" w:before="120" w:line="240"/>
        <w:jc w:val="center"/>
      </w:pPr>
      <w:r>
        <w:rPr>
          <w:rFonts w:ascii="Times New Roman" w:cs="Times New Roman" w:eastAsia="Times New Roman" w:hAnsi="Times New Roman"/>
          <w:b/>
          <w:bCs/>
          <w:caps/>
          <w:sz w:val="20"/>
          <w:szCs w:val="20"/>
        </w:rPr>
        <w:t xml:space="preserve">I.  GİRİŞ</w:t>
      </w:r>
    </w:p>
    <w:p>
      <w:pPr>
        <w:spacing w:after="60" w:before="0" w:line="240"/>
        <w:ind w:firstLine="720"/>
        <w:jc w:val="both"/>
      </w:pPr>
      <w:r>
        <w:rPr>
          <w:rFonts w:ascii="Times New Roman" w:cs="Times New Roman" w:eastAsia="Times New Roman" w:hAnsi="Times New Roman"/>
          <w:sz w:val="20"/>
          <w:szCs w:val="20"/>
        </w:rPr>
        <w:t xml:space="preserve">Modern siber saldırılarda saldırganlar, güvenlik yazılımlarının tespitini zorlaştırmak amacıyla meşru sistem süreçlerinin belleğine kötü amaçlı kod enjekte etmektedir [1]. Process injection olarak adlandırılan bu teknikler, Windows'un süreçler arası iletişim ve bellek yönetim mekanizmalarını kötüye kullanmaktadır.</w:t>
      </w:r>
    </w:p>
    <w:p>
      <w:pPr>
        <w:spacing w:after="60" w:before="0" w:line="240"/>
        <w:ind w:firstLine="720"/>
        <w:jc w:val="both"/>
      </w:pPr>
      <w:r>
        <w:rPr>
          <w:rFonts w:ascii="Times New Roman" w:cs="Times New Roman" w:eastAsia="Times New Roman" w:hAnsi="Times New Roman"/>
          <w:sz w:val="20"/>
          <w:szCs w:val="20"/>
        </w:rPr>
        <w:t xml:space="preserve">Geleneksel antivirüs çözümleri imza tabanlı tespite dayandığından, imzasız ya da polimorfik injection kodlarına karşı yetersiz kalmaktadır [5]. Bu çalışmanın temel amacı, davranışsal analiz ve bellek incelemesi yoluyla injection girişimlerini proaktif biçimde tespit eden, C++ ile OOP prensiplerine uygun geliştirilmiş bir araç ortaya koymaktır.</w:t>
      </w:r>
    </w:p>
    <w:p>
      <w:pPr>
        <w:spacing w:after="60" w:before="0" w:line="240"/>
        <w:ind w:firstLine="720"/>
        <w:jc w:val="both"/>
      </w:pPr>
      <w:r>
        <w:rPr>
          <w:rFonts w:ascii="Times New Roman" w:cs="Times New Roman" w:eastAsia="Times New Roman" w:hAnsi="Times New Roman"/>
          <w:sz w:val="20"/>
          <w:szCs w:val="20"/>
        </w:rPr>
        <w:t xml:space="preserve">Araç, Visual Studio 2019 ortamında x64 mimarisi için derlenmiştir. Windows API ile birlikte NtQueryInformationThread gibi düşük seviye NT fonksiyonlarından yararlanılmıştır [8][13].</w:t>
      </w:r>
    </w:p>
    <w:p>
      <w:pPr>
        <w:spacing w:after="60" w:before="120" w:line="240"/>
        <w:jc w:val="center"/>
      </w:pPr>
      <w:r>
        <w:rPr>
          <w:rFonts w:ascii="Times New Roman" w:cs="Times New Roman" w:eastAsia="Times New Roman" w:hAnsi="Times New Roman"/>
          <w:b/>
          <w:bCs/>
          <w:caps/>
          <w:sz w:val="20"/>
          <w:szCs w:val="20"/>
        </w:rPr>
        <w:t xml:space="preserve">II.  İLGİLİ ÇALIŞMALAR</w:t>
      </w:r>
    </w:p>
    <w:p>
      <w:pPr>
        <w:spacing w:after="60" w:before="0" w:line="240"/>
        <w:ind w:firstLine="720"/>
        <w:jc w:val="both"/>
      </w:pPr>
      <w:r>
        <w:rPr>
          <w:rFonts w:ascii="Times New Roman" w:cs="Times New Roman" w:eastAsia="Times New Roman" w:hAnsi="Times New Roman"/>
          <w:sz w:val="20"/>
          <w:szCs w:val="20"/>
        </w:rPr>
        <w:t xml:space="preserve">Process injection teknikleri güvenlik araştırmacıları tarafından kapsamlı biçimde incelenmiştir. MITRE ATT&amp;CK çerçevesi [2], process injection tekniklerini T1055 kimliğiyle sınıflandırmaktadır. Garfinkel ve Rosenblum [3], sanal makine tabanlı izleme ile kötü amaçlı yazılım davranışlarını analiz etmiştir.</w:t>
      </w:r>
    </w:p>
    <w:p>
      <w:pPr>
        <w:spacing w:after="60" w:before="0" w:line="240"/>
        <w:ind w:firstLine="720"/>
        <w:jc w:val="both"/>
      </w:pPr>
      <w:r>
        <w:rPr>
          <w:rFonts w:ascii="Times New Roman" w:cs="Times New Roman" w:eastAsia="Times New Roman" w:hAnsi="Times New Roman"/>
          <w:sz w:val="20"/>
          <w:szCs w:val="20"/>
        </w:rPr>
        <w:t xml:space="preserve">Gu ve ark. [4], anomali tabanlı tespit için bellek erişim kalıplarını kullanmıştır. Dolan-Gavitt ve ark. [9], sanal makine iç gözlem semantik açığını kapatmaya yönelik Virtuoso sistemini geliştirmiştir. Vasudevan ve Yerraballi [11], ince taneli zararlı yazılım analizini ele almıştır.</w:t>
      </w:r>
    </w:p>
    <w:p>
      <w:pPr>
        <w:spacing w:after="60" w:before="0" w:line="240"/>
        <w:ind w:firstLine="720"/>
        <w:jc w:val="both"/>
      </w:pPr>
      <w:r>
        <w:rPr>
          <w:rFonts w:ascii="Times New Roman" w:cs="Times New Roman" w:eastAsia="Times New Roman" w:hAnsi="Times New Roman"/>
          <w:sz w:val="20"/>
          <w:szCs w:val="20"/>
        </w:rPr>
        <w:t xml:space="preserve">Russinovich ve ark. [13], Windows iç mimarisini derinlemesine incelemiştir. Kolbitsch ve ark. [16], son kullanıcı tarafında etkili zararlı yazılım tespiti üzerine çalışmıştır. Royal ve ark. [17] ise packing'li zararlı yazılımların gizli kodlarını otomatik olarak çıkarmayı başarmıştır.</w:t>
      </w:r>
    </w:p>
    <w:p>
      <w:pPr>
        <w:spacing w:after="60" w:before="0" w:line="240"/>
        <w:ind w:firstLine="720"/>
        <w:jc w:val="both"/>
      </w:pPr>
      <w:r>
        <w:rPr>
          <w:rFonts w:ascii="Times New Roman" w:cs="Times New Roman" w:eastAsia="Times New Roman" w:hAnsi="Times New Roman"/>
          <w:sz w:val="20"/>
          <w:szCs w:val="20"/>
        </w:rPr>
        <w:t xml:space="preserve">Mevcut çalışmalardan farklı olarak bu araç, kural tabanlı ve heuristik yaklaşımları bir arada kullanmakta, harici bağımlılık gerektirmemekte ve OOP mimarisiyle genişletilebilir bir yapı sunmaktadır.</w:t>
      </w:r>
    </w:p>
    <w:p>
      <w:pPr>
        <w:spacing w:after="60" w:before="120" w:line="240"/>
        <w:jc w:val="center"/>
      </w:pPr>
      <w:r>
        <w:rPr>
          <w:rFonts w:ascii="Times New Roman" w:cs="Times New Roman" w:eastAsia="Times New Roman" w:hAnsi="Times New Roman"/>
          <w:b/>
          <w:bCs/>
          <w:caps/>
          <w:sz w:val="20"/>
          <w:szCs w:val="20"/>
        </w:rPr>
        <w:t xml:space="preserve">III.  TESPİT YÖNTEMLERİ</w:t>
      </w:r>
    </w:p>
    <w:p>
      <w:pPr>
        <w:spacing w:after="40" w:before="80" w:line="240"/>
        <w:jc w:val="left"/>
      </w:pPr>
      <w:r>
        <w:rPr>
          <w:rFonts w:ascii="Times New Roman" w:cs="Times New Roman" w:eastAsia="Times New Roman" w:hAnsi="Times New Roman"/>
          <w:b/>
          <w:bCs/>
          <w:i/>
          <w:iCs/>
          <w:sz w:val="20"/>
          <w:szCs w:val="20"/>
        </w:rPr>
        <w:t xml:space="preserve">A.  DLL Injection Tespiti</w:t>
      </w:r>
    </w:p>
    <w:p>
      <w:pPr>
        <w:spacing w:after="60" w:before="0" w:line="240"/>
        <w:ind w:firstLine="720"/>
        <w:jc w:val="both"/>
      </w:pPr>
      <w:r>
        <w:rPr>
          <w:rFonts w:ascii="Times New Roman" w:cs="Times New Roman" w:eastAsia="Times New Roman" w:hAnsi="Times New Roman"/>
          <w:sz w:val="20"/>
          <w:szCs w:val="20"/>
        </w:rPr>
        <w:t xml:space="preserve">DLL Injection, CreateRemoteThread ve LoadLibrary API'leri aracılığıyla hedef sürecin adres alanına yabancı bir DLL yüklenmesidir [1]. Tespit yaklaşımımızda CreateToolhelp32Snapshot ile her sürecin modül listesi alınmakta; modül yolları şüpheli konumlarla karşılaştırılmaktadır. Sistem dizinleri dışından yüklenen modüller HIGH risk olarak işaretlenmektedir.</w:t>
      </w:r>
    </w:p>
    <w:p>
      <w:pPr>
        <w:spacing w:after="40" w:before="80" w:line="240"/>
        <w:jc w:val="left"/>
      </w:pPr>
      <w:r>
        <w:rPr>
          <w:rFonts w:ascii="Times New Roman" w:cs="Times New Roman" w:eastAsia="Times New Roman" w:hAnsi="Times New Roman"/>
          <w:b/>
          <w:bCs/>
          <w:i/>
          <w:iCs/>
          <w:sz w:val="20"/>
          <w:szCs w:val="20"/>
        </w:rPr>
        <w:t xml:space="preserve">B.  Process Hollowing Tespiti</w:t>
      </w:r>
    </w:p>
    <w:p>
      <w:pPr>
        <w:spacing w:after="60" w:before="0" w:line="240"/>
        <w:ind w:firstLine="720"/>
        <w:jc w:val="both"/>
      </w:pPr>
      <w:r>
        <w:rPr>
          <w:rFonts w:ascii="Times New Roman" w:cs="Times New Roman" w:eastAsia="Times New Roman" w:hAnsi="Times New Roman"/>
          <w:sz w:val="20"/>
          <w:szCs w:val="20"/>
        </w:rPr>
        <w:t xml:space="preserve">Process Hollowing, meşru bir sürecin belleğinin boşaltılarak kötü amaçlı kodla doldurulması tekniğidir [12]. Disk PE başlığı ile ReadProcessMemory ile okunan bellek PE başlığı karşılaştırılmaktadır. e_lfanew alanındaki uyuşmazlık veya geçersiz MZ imzası hollowing göstergesidir.</w:t>
      </w:r>
    </w:p>
    <w:p>
      <w:pPr>
        <w:spacing w:after="40" w:before="80" w:line="240"/>
        <w:jc w:val="left"/>
      </w:pPr>
      <w:r>
        <w:rPr>
          <w:rFonts w:ascii="Times New Roman" w:cs="Times New Roman" w:eastAsia="Times New Roman" w:hAnsi="Times New Roman"/>
          <w:b/>
          <w:bCs/>
          <w:i/>
          <w:iCs/>
          <w:sz w:val="20"/>
          <w:szCs w:val="20"/>
        </w:rPr>
        <w:t xml:space="preserve">C.  Shellcode Injection Tespiti</w:t>
      </w:r>
    </w:p>
    <w:p>
      <w:pPr>
        <w:spacing w:after="60" w:before="0" w:line="240"/>
        <w:ind w:firstLine="720"/>
        <w:jc w:val="both"/>
      </w:pPr>
      <w:r>
        <w:rPr>
          <w:rFonts w:ascii="Times New Roman" w:cs="Times New Roman" w:eastAsia="Times New Roman" w:hAnsi="Times New Roman"/>
          <w:sz w:val="20"/>
          <w:szCs w:val="20"/>
        </w:rPr>
        <w:t xml:space="preserve">Shellcode genellikle RWX (Read-Write-Execute) korumalı bellek bölgelerine yerleştirilir [17]. VirtualQueryEx API'si ile hedef sürecin tüm bellek haritası taranmakta; PAGE_EXECUTE_READWRITE korumasına sahip private bölgeler HIGH risk olarak sınıflandırılmaktadır.</w:t>
      </w:r>
    </w:p>
    <w:p>
      <w:pPr>
        <w:spacing w:after="40" w:before="80" w:line="240"/>
        <w:jc w:val="left"/>
      </w:pPr>
      <w:r>
        <w:rPr>
          <w:rFonts w:ascii="Times New Roman" w:cs="Times New Roman" w:eastAsia="Times New Roman" w:hAnsi="Times New Roman"/>
          <w:b/>
          <w:bCs/>
          <w:i/>
          <w:iCs/>
          <w:sz w:val="20"/>
          <w:szCs w:val="20"/>
        </w:rPr>
        <w:t xml:space="preserve">D.  Remote Thread Injection Tespiti</w:t>
      </w:r>
    </w:p>
    <w:p>
      <w:pPr>
        <w:spacing w:after="60" w:before="0" w:line="240"/>
        <w:ind w:firstLine="720"/>
        <w:jc w:val="both"/>
      </w:pPr>
      <w:r>
        <w:rPr>
          <w:rFonts w:ascii="Times New Roman" w:cs="Times New Roman" w:eastAsia="Times New Roman" w:hAnsi="Times New Roman"/>
          <w:sz w:val="20"/>
          <w:szCs w:val="20"/>
        </w:rPr>
        <w:t xml:space="preserve">CreateRemoteThread ile oluşturulan thread'ler hedef süreçte yabancı kod çalıştırmanın en yaygın yöntemidir [1][8]. NtQueryInformationThread (ThreadQuerySetWin32StartAddress) ile her thread'in başlangıç adresi sorgulanmaktadır. Private execute bölgesine denk gelen adres MEDIUM uyarı üretir.</w:t>
      </w:r>
    </w:p>
    <w:p>
      <w:pPr>
        <w:spacing w:after="40" w:before="80" w:line="240"/>
        <w:jc w:val="left"/>
      </w:pPr>
      <w:r>
        <w:rPr>
          <w:rFonts w:ascii="Times New Roman" w:cs="Times New Roman" w:eastAsia="Times New Roman" w:hAnsi="Times New Roman"/>
          <w:b/>
          <w:bCs/>
          <w:i/>
          <w:iCs/>
          <w:sz w:val="20"/>
          <w:szCs w:val="20"/>
        </w:rPr>
        <w:t xml:space="preserve">E.  APC Injection Tespiti (Heuristik)</w:t>
      </w:r>
    </w:p>
    <w:p>
      <w:pPr>
        <w:spacing w:after="60" w:before="0" w:line="240"/>
        <w:ind w:firstLine="720"/>
        <w:jc w:val="both"/>
      </w:pPr>
      <w:r>
        <w:rPr>
          <w:rFonts w:ascii="Times New Roman" w:cs="Times New Roman" w:eastAsia="Times New Roman" w:hAnsi="Times New Roman"/>
          <w:sz w:val="20"/>
          <w:szCs w:val="20"/>
        </w:rPr>
        <w:t xml:space="preserve">QueueUserAPC ile gerçekleştirilen injection alertable thread'leri hedef almaktadır [13]. Kullanıcı modunda APC kuyruğuna doğrudan erişim kısıtlı olduğundan heuristik yaklaşım benimsenmiştir: ikiden fazla şüpheli dizinden yüklenen modül APC injection göstergesi olarak değerlendirilmektedir.</w:t>
      </w:r>
    </w:p>
    <w:p>
      <w:pPr>
        <w:spacing w:after="60" w:before="120" w:line="240"/>
        <w:jc w:val="center"/>
      </w:pPr>
      <w:r>
        <w:rPr>
          <w:rFonts w:ascii="Times New Roman" w:cs="Times New Roman" w:eastAsia="Times New Roman" w:hAnsi="Times New Roman"/>
          <w:b/>
          <w:bCs/>
          <w:caps/>
          <w:sz w:val="20"/>
          <w:szCs w:val="20"/>
        </w:rPr>
        <w:t xml:space="preserve">IV.  UYGULAMA MİMARİSİ VE OOP TASARIMI</w:t>
      </w:r>
    </w:p>
    <w:p>
      <w:pPr>
        <w:spacing w:after="60" w:before="0" w:line="240"/>
        <w:ind w:firstLine="720"/>
        <w:jc w:val="both"/>
      </w:pPr>
      <w:r>
        <w:rPr>
          <w:rFonts w:ascii="Times New Roman" w:cs="Times New Roman" w:eastAsia="Times New Roman" w:hAnsi="Times New Roman"/>
          <w:sz w:val="20"/>
          <w:szCs w:val="20"/>
        </w:rPr>
        <w:t xml:space="preserve">Araç, OOP prensiplerine uygun üç katmanlı bir mimari ile tasarlanmıştır. ProcessInjectionDetector ana sınıfı; DetectionResult, SuspiciousModule ve SuspiciousThread yapı (struct) türlerini kapsamaktadır. Kapsülleme (encapsulation) ilkesi gereği tespit metodları private, kullanıcı arayüzü metodları ise public olarak tanımlanmıştır.</w:t>
      </w:r>
    </w:p>
    <w:p>
      <w:pPr>
        <w:spacing w:after="60" w:before="0" w:line="240"/>
        <w:ind w:firstLine="720"/>
        <w:jc w:val="both"/>
      </w:pPr>
      <w:r>
        <w:rPr>
          <w:rFonts w:ascii="Times New Roman" w:cs="Times New Roman" w:eastAsia="Times New Roman" w:hAnsi="Times New Roman"/>
          <w:sz w:val="20"/>
          <w:szCs w:val="20"/>
        </w:rPr>
        <w:t xml:space="preserve">Yapıcı (constructor) metod şüpheli ve güvenli yol listelerini başlatmakta; yıkıcı (destructor) metod kaynakları serbest bırakmaktadır. std::vector ve std::wstring gibi modern C++ STL kapsayıcıları kullanılmıştır. Proje üç dosyadan oluşmaktadır: ProcessInjectionDetector.h, ProcessInjectionDetector.cpp ve main.cpp.</w:t>
      </w:r>
    </w:p>
    <w:p>
      <w:pPr>
        <w:spacing w:after="40" w:before="80" w:line="240"/>
        <w:jc w:val="center"/>
      </w:pPr>
      <w:r>
        <w:rPr>
          <w:rFonts w:ascii="Times New Roman" w:cs="Times New Roman" w:eastAsia="Times New Roman" w:hAnsi="Times New Roman"/>
          <w:b/>
          <w:bCs/>
          <w:sz w:val="20"/>
          <w:szCs w:val="20"/>
        </w:rPr>
        <w:t xml:space="preserve">TABLO I.  KULLANILAN WINDOWS API FONKSİYONLARI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226"/>
      </w:tblGrid>
      <w:tr>
        <w:tc>
          <w:tcPr>
            <w:tcW w:type="dxa" w:w="3000"/>
            <w:shd w:fill="D9D9D9" w:val="clear"/>
            <w:tcMar>
              <w:top w:type="dxa" w:w="40"/>
              <w:left w:type="dxa" w:w="80"/>
              <w:bottom w:type="dxa" w:w="40"/>
              <w:right w:type="dxa" w:w="80"/>
            </w:tcMar>
          </w:tcPr>
          <w:p>
            <w:r>
              <w:rPr>
                <w:rFonts w:ascii="Times New Roman" w:cs="Times New Roman" w:eastAsia="Times New Roman" w:hAnsi="Times New Roman"/>
                <w:b/>
                <w:bCs/>
                <w:sz w:val="20"/>
                <w:szCs w:val="20"/>
              </w:rPr>
              <w:t xml:space="preserve">Bileşen</w:t>
            </w:r>
          </w:p>
        </w:tc>
        <w:tc>
          <w:tcPr>
            <w:tcW w:type="dxa" w:w="3000"/>
            <w:shd w:fill="D9D9D9" w:val="clear"/>
            <w:tcMar>
              <w:top w:type="dxa" w:w="40"/>
              <w:left w:type="dxa" w:w="80"/>
              <w:bottom w:type="dxa" w:w="40"/>
              <w:right w:type="dxa" w:w="80"/>
            </w:tcMar>
          </w:tcPr>
          <w:p>
            <w:r>
              <w:rPr>
                <w:rFonts w:ascii="Times New Roman" w:cs="Times New Roman" w:eastAsia="Times New Roman" w:hAnsi="Times New Roman"/>
                <w:b/>
                <w:bCs/>
                <w:sz w:val="20"/>
                <w:szCs w:val="20"/>
              </w:rPr>
              <w:t xml:space="preserve">Fonksiyon</w:t>
            </w:r>
          </w:p>
        </w:tc>
        <w:tc>
          <w:tcPr>
            <w:tcW w:type="dxa" w:w="3000"/>
            <w:shd w:fill="D9D9D9" w:val="clear"/>
            <w:tcMar>
              <w:top w:type="dxa" w:w="40"/>
              <w:left w:type="dxa" w:w="80"/>
              <w:bottom w:type="dxa" w:w="40"/>
              <w:right w:type="dxa" w:w="80"/>
            </w:tcMar>
          </w:tcPr>
          <w:p>
            <w:r>
              <w:rPr>
                <w:rFonts w:ascii="Times New Roman" w:cs="Times New Roman" w:eastAsia="Times New Roman" w:hAnsi="Times New Roman"/>
                <w:b/>
                <w:bCs/>
                <w:sz w:val="20"/>
                <w:szCs w:val="20"/>
              </w:rPr>
              <w:t xml:space="preserve">Windows API</w:t>
            </w:r>
          </w:p>
        </w:tc>
      </w:tr>
      <w:tr>
        <w:tc>
          <w:tcPr>
            <w:tcW w:type="dxa" w:w="2500"/>
            <w:tcMar>
              <w:top w:type="dxa" w:w="40"/>
              <w:left w:type="dxa" w:w="80"/>
              <w:bottom w:type="dxa" w:w="40"/>
              <w:right w:type="dxa" w:w="80"/>
            </w:tcMar>
          </w:tcPr>
          <w:p>
            <w:r>
              <w:rPr>
                <w:rFonts w:ascii="Times New Roman" w:cs="Times New Roman" w:eastAsia="Times New Roman" w:hAnsi="Times New Roman"/>
                <w:sz w:val="20"/>
                <w:szCs w:val="20"/>
              </w:rPr>
              <w:t xml:space="preserve">Süreç Tarayıcı</w:t>
            </w:r>
          </w:p>
        </w:tc>
        <w:tc>
          <w:tcPr>
            <w:tcW w:type="dxa" w:w="3300"/>
            <w:tcMar>
              <w:top w:type="dxa" w:w="40"/>
              <w:left w:type="dxa" w:w="80"/>
              <w:bottom w:type="dxa" w:w="40"/>
              <w:right w:type="dxa" w:w="80"/>
            </w:tcMar>
          </w:tcPr>
          <w:p>
            <w:r>
              <w:rPr>
                <w:rFonts w:ascii="Times New Roman" w:cs="Times New Roman" w:eastAsia="Times New Roman" w:hAnsi="Times New Roman"/>
                <w:sz w:val="20"/>
                <w:szCs w:val="20"/>
              </w:rPr>
              <w:t xml:space="preserve">PID listeler</w:t>
            </w:r>
          </w:p>
        </w:tc>
        <w:tc>
          <w:tcPr>
            <w:tcW w:type="dxa" w:w="3226"/>
            <w:tcMar>
              <w:top w:type="dxa" w:w="40"/>
              <w:left w:type="dxa" w:w="80"/>
              <w:bottom w:type="dxa" w:w="40"/>
              <w:right w:type="dxa" w:w="80"/>
            </w:tcMar>
          </w:tcPr>
          <w:p>
            <w:r>
              <w:rPr>
                <w:rFonts w:ascii="Times New Roman" w:cs="Times New Roman" w:eastAsia="Times New Roman" w:hAnsi="Times New Roman"/>
                <w:sz w:val="20"/>
                <w:szCs w:val="20"/>
              </w:rPr>
              <w:t xml:space="preserve">CreateToolhelp32Snapshot</w:t>
            </w:r>
          </w:p>
        </w:tc>
      </w:tr>
      <w:tr>
        <w:tc>
          <w:tcPr>
            <w:tcW w:type="dxa" w:w="2500"/>
            <w:tcMar>
              <w:top w:type="dxa" w:w="40"/>
              <w:left w:type="dxa" w:w="80"/>
              <w:bottom w:type="dxa" w:w="40"/>
              <w:right w:type="dxa" w:w="80"/>
            </w:tcMar>
          </w:tcPr>
          <w:p>
            <w:r>
              <w:rPr>
                <w:rFonts w:ascii="Times New Roman" w:cs="Times New Roman" w:eastAsia="Times New Roman" w:hAnsi="Times New Roman"/>
                <w:sz w:val="20"/>
                <w:szCs w:val="20"/>
              </w:rPr>
              <w:t xml:space="preserve">Modül Analizörü</w:t>
            </w:r>
          </w:p>
        </w:tc>
        <w:tc>
          <w:tcPr>
            <w:tcW w:type="dxa" w:w="3300"/>
            <w:tcMar>
              <w:top w:type="dxa" w:w="40"/>
              <w:left w:type="dxa" w:w="80"/>
              <w:bottom w:type="dxa" w:w="40"/>
              <w:right w:type="dxa" w:w="80"/>
            </w:tcMar>
          </w:tcPr>
          <w:p>
            <w:r>
              <w:rPr>
                <w:rFonts w:ascii="Times New Roman" w:cs="Times New Roman" w:eastAsia="Times New Roman" w:hAnsi="Times New Roman"/>
                <w:sz w:val="20"/>
                <w:szCs w:val="20"/>
              </w:rPr>
              <w:t xml:space="preserve">DLL yollarını doğrular</w:t>
            </w:r>
          </w:p>
        </w:tc>
        <w:tc>
          <w:tcPr>
            <w:tcW w:type="dxa" w:w="3226"/>
            <w:tcMar>
              <w:top w:type="dxa" w:w="40"/>
              <w:left w:type="dxa" w:w="80"/>
              <w:bottom w:type="dxa" w:w="40"/>
              <w:right w:type="dxa" w:w="80"/>
            </w:tcMar>
          </w:tcPr>
          <w:p>
            <w:r>
              <w:rPr>
                <w:rFonts w:ascii="Times New Roman" w:cs="Times New Roman" w:eastAsia="Times New Roman" w:hAnsi="Times New Roman"/>
                <w:sz w:val="20"/>
                <w:szCs w:val="20"/>
              </w:rPr>
              <w:t xml:space="preserve">EnumProcessModules</w:t>
            </w:r>
          </w:p>
        </w:tc>
      </w:tr>
      <w:tr>
        <w:tc>
          <w:tcPr>
            <w:tcW w:type="dxa" w:w="2500"/>
            <w:tcMar>
              <w:top w:type="dxa" w:w="40"/>
              <w:left w:type="dxa" w:w="80"/>
              <w:bottom w:type="dxa" w:w="40"/>
              <w:right w:type="dxa" w:w="80"/>
            </w:tcMar>
          </w:tcPr>
          <w:p>
            <w:r>
              <w:rPr>
                <w:rFonts w:ascii="Times New Roman" w:cs="Times New Roman" w:eastAsia="Times New Roman" w:hAnsi="Times New Roman"/>
                <w:sz w:val="20"/>
                <w:szCs w:val="20"/>
              </w:rPr>
              <w:t xml:space="preserve">Bellek Denetçisi</w:t>
            </w:r>
          </w:p>
        </w:tc>
        <w:tc>
          <w:tcPr>
            <w:tcW w:type="dxa" w:w="3300"/>
            <w:tcMar>
              <w:top w:type="dxa" w:w="40"/>
              <w:left w:type="dxa" w:w="80"/>
              <w:bottom w:type="dxa" w:w="40"/>
              <w:right w:type="dxa" w:w="80"/>
            </w:tcMar>
          </w:tcPr>
          <w:p>
            <w:r>
              <w:rPr>
                <w:rFonts w:ascii="Times New Roman" w:cs="Times New Roman" w:eastAsia="Times New Roman" w:hAnsi="Times New Roman"/>
                <w:sz w:val="20"/>
                <w:szCs w:val="20"/>
              </w:rPr>
              <w:t xml:space="preserve">RWX bölge tarar</w:t>
            </w:r>
          </w:p>
        </w:tc>
        <w:tc>
          <w:tcPr>
            <w:tcW w:type="dxa" w:w="3226"/>
            <w:tcMar>
              <w:top w:type="dxa" w:w="40"/>
              <w:left w:type="dxa" w:w="80"/>
              <w:bottom w:type="dxa" w:w="40"/>
              <w:right w:type="dxa" w:w="80"/>
            </w:tcMar>
          </w:tcPr>
          <w:p>
            <w:r>
              <w:rPr>
                <w:rFonts w:ascii="Times New Roman" w:cs="Times New Roman" w:eastAsia="Times New Roman" w:hAnsi="Times New Roman"/>
                <w:sz w:val="20"/>
                <w:szCs w:val="20"/>
              </w:rPr>
              <w:t xml:space="preserve">VirtualQueryEx</w:t>
            </w:r>
          </w:p>
        </w:tc>
      </w:tr>
      <w:tr>
        <w:tc>
          <w:tcPr>
            <w:tcW w:type="dxa" w:w="2500"/>
            <w:tcMar>
              <w:top w:type="dxa" w:w="40"/>
              <w:left w:type="dxa" w:w="80"/>
              <w:bottom w:type="dxa" w:w="40"/>
              <w:right w:type="dxa" w:w="80"/>
            </w:tcMar>
          </w:tcPr>
          <w:p>
            <w:r>
              <w:rPr>
                <w:rFonts w:ascii="Times New Roman" w:cs="Times New Roman" w:eastAsia="Times New Roman" w:hAnsi="Times New Roman"/>
                <w:sz w:val="20"/>
                <w:szCs w:val="20"/>
              </w:rPr>
              <w:t xml:space="preserve">Thread Denetçisi</w:t>
            </w:r>
          </w:p>
        </w:tc>
        <w:tc>
          <w:tcPr>
            <w:tcW w:type="dxa" w:w="3300"/>
            <w:tcMar>
              <w:top w:type="dxa" w:w="40"/>
              <w:left w:type="dxa" w:w="80"/>
              <w:bottom w:type="dxa" w:w="40"/>
              <w:right w:type="dxa" w:w="80"/>
            </w:tcMar>
          </w:tcPr>
          <w:p>
            <w:r>
              <w:rPr>
                <w:rFonts w:ascii="Times New Roman" w:cs="Times New Roman" w:eastAsia="Times New Roman" w:hAnsi="Times New Roman"/>
                <w:sz w:val="20"/>
                <w:szCs w:val="20"/>
              </w:rPr>
              <w:t xml:space="preserve">Başlangıç adres sorgular</w:t>
            </w:r>
          </w:p>
        </w:tc>
        <w:tc>
          <w:tcPr>
            <w:tcW w:type="dxa" w:w="3226"/>
            <w:tcMar>
              <w:top w:type="dxa" w:w="40"/>
              <w:left w:type="dxa" w:w="80"/>
              <w:bottom w:type="dxa" w:w="40"/>
              <w:right w:type="dxa" w:w="80"/>
            </w:tcMar>
          </w:tcPr>
          <w:p>
            <w:r>
              <w:rPr>
                <w:rFonts w:ascii="Times New Roman" w:cs="Times New Roman" w:eastAsia="Times New Roman" w:hAnsi="Times New Roman"/>
                <w:sz w:val="20"/>
                <w:szCs w:val="20"/>
              </w:rPr>
              <w:t xml:space="preserve">NtQueryInformationThread</w:t>
            </w:r>
          </w:p>
        </w:tc>
      </w:tr>
      <w:tr>
        <w:tc>
          <w:tcPr>
            <w:tcW w:type="dxa" w:w="2500"/>
            <w:tcMar>
              <w:top w:type="dxa" w:w="40"/>
              <w:left w:type="dxa" w:w="80"/>
              <w:bottom w:type="dxa" w:w="40"/>
              <w:right w:type="dxa" w:w="80"/>
            </w:tcMar>
          </w:tcPr>
          <w:p>
            <w:r>
              <w:rPr>
                <w:rFonts w:ascii="Times New Roman" w:cs="Times New Roman" w:eastAsia="Times New Roman" w:hAnsi="Times New Roman"/>
                <w:sz w:val="20"/>
                <w:szCs w:val="20"/>
              </w:rPr>
              <w:t xml:space="preserve">PE Karşılaştırıcı</w:t>
            </w:r>
          </w:p>
        </w:tc>
        <w:tc>
          <w:tcPr>
            <w:tcW w:type="dxa" w:w="3300"/>
            <w:tcMar>
              <w:top w:type="dxa" w:w="40"/>
              <w:left w:type="dxa" w:w="80"/>
              <w:bottom w:type="dxa" w:w="40"/>
              <w:right w:type="dxa" w:w="80"/>
            </w:tcMar>
          </w:tcPr>
          <w:p>
            <w:r>
              <w:rPr>
                <w:rFonts w:ascii="Times New Roman" w:cs="Times New Roman" w:eastAsia="Times New Roman" w:hAnsi="Times New Roman"/>
                <w:sz w:val="20"/>
                <w:szCs w:val="20"/>
              </w:rPr>
              <w:t xml:space="preserve">Disk/bellek PE uyumunu denetler</w:t>
            </w:r>
          </w:p>
        </w:tc>
        <w:tc>
          <w:tcPr>
            <w:tcW w:type="dxa" w:w="3226"/>
            <w:tcMar>
              <w:top w:type="dxa" w:w="40"/>
              <w:left w:type="dxa" w:w="80"/>
              <w:bottom w:type="dxa" w:w="40"/>
              <w:right w:type="dxa" w:w="80"/>
            </w:tcMar>
          </w:tcPr>
          <w:p>
            <w:r>
              <w:rPr>
                <w:rFonts w:ascii="Times New Roman" w:cs="Times New Roman" w:eastAsia="Times New Roman" w:hAnsi="Times New Roman"/>
                <w:sz w:val="20"/>
                <w:szCs w:val="20"/>
              </w:rPr>
              <w:t xml:space="preserve">ReadProcessMemory</w:t>
            </w:r>
          </w:p>
        </w:tc>
      </w:tr>
    </w:tbl>
    <w:p>
      <w:pPr>
        <w:spacing w:after="60"/>
      </w:pPr>
      <w:r>
        <w:t xml:space="preserve"/>
      </w:r>
    </w:p>
    <w:p>
      <w:pPr>
        <w:spacing w:after="60" w:before="120" w:line="240"/>
        <w:jc w:val="center"/>
      </w:pPr>
      <w:r>
        <w:rPr>
          <w:rFonts w:ascii="Times New Roman" w:cs="Times New Roman" w:eastAsia="Times New Roman" w:hAnsi="Times New Roman"/>
          <w:b/>
          <w:bCs/>
          <w:caps/>
          <w:sz w:val="20"/>
          <w:szCs w:val="20"/>
        </w:rPr>
        <w:t xml:space="preserve">V.  DEĞERLENDİRME VE SONUÇLAR</w:t>
      </w:r>
    </w:p>
    <w:p>
      <w:pPr>
        <w:spacing w:after="60" w:before="0" w:line="240"/>
        <w:ind w:firstLine="720"/>
        <w:jc w:val="both"/>
      </w:pPr>
      <w:r>
        <w:rPr>
          <w:rFonts w:ascii="Times New Roman" w:cs="Times New Roman" w:eastAsia="Times New Roman" w:hAnsi="Times New Roman"/>
          <w:sz w:val="20"/>
          <w:szCs w:val="20"/>
        </w:rPr>
        <w:t xml:space="preserve">Araç, Windows 10 (22H2) x64 platformunda test edilmiştir. Gerçek sistem üzerinde çalıştırıldığında 82 tespit üretilmiştir: 81 HIGH (Process Hollowing) ve 1 MEDIUM (Remote Thread Injection). FnHotkeyUtility.exe ve igfxEM.exe gibi donanım üreticisi yazılımlarından kaynaklanan yanlış pozitifler, beyaz liste mekanizmasının gelecek sürümlerde önceliklendirilmesi gerektiğini göstermektedir [16].</w:t>
      </w:r>
    </w:p>
    <w:p>
      <w:pPr>
        <w:spacing w:after="60" w:before="0" w:line="240"/>
        <w:ind w:firstLine="720"/>
        <w:jc w:val="both"/>
      </w:pPr>
      <w:r>
        <w:rPr>
          <w:rFonts w:ascii="Times New Roman" w:cs="Times New Roman" w:eastAsia="Times New Roman" w:hAnsi="Times New Roman"/>
          <w:sz w:val="20"/>
          <w:szCs w:val="20"/>
        </w:rPr>
        <w:t xml:space="preserve">Aracın güçlü yönleri: harici bağımlılık gerektirmemesi, beş tekniği tek taramada tespit edebilmesi ve OOP mimarisi sayesinde kolayca genişletilebilir olması. Temel kısıtlamalar ise çekirdek düzeyi saldırıların tespit edilememesi ve yüksek thread sayılı süreçlerde performans düşüşüdür [9].</w:t>
      </w:r>
    </w:p>
    <w:p>
      <w:pPr>
        <w:spacing w:after="60" w:before="120" w:line="240"/>
        <w:jc w:val="center"/>
      </w:pPr>
      <w:r>
        <w:rPr>
          <w:rFonts w:ascii="Times New Roman" w:cs="Times New Roman" w:eastAsia="Times New Roman" w:hAnsi="Times New Roman"/>
          <w:b/>
          <w:bCs/>
          <w:caps/>
          <w:sz w:val="20"/>
          <w:szCs w:val="20"/>
        </w:rPr>
        <w:t xml:space="preserve">VI.  SONUÇ VE GELECEK ÇALIŞMALAR</w:t>
      </w:r>
    </w:p>
    <w:p>
      <w:pPr>
        <w:spacing w:after="60" w:before="0" w:line="240"/>
        <w:ind w:firstLine="720"/>
        <w:jc w:val="both"/>
      </w:pPr>
      <w:r>
        <w:rPr>
          <w:rFonts w:ascii="Times New Roman" w:cs="Times New Roman" w:eastAsia="Times New Roman" w:hAnsi="Times New Roman"/>
          <w:sz w:val="20"/>
          <w:szCs w:val="20"/>
        </w:rPr>
        <w:t xml:space="preserve">Bu çalışmada, Windows platformunda beş yaygın process injection tekniğini kural tabanlı ve heuristik yöntemlerle gerçek zamanlı tespit eden, OOP merkezli bir C++ aracı geliştirilmiştir. Araç, süreç belleğini, modül yapısını ve thread davranışını Windows API üzerinden analiz etmektedir.</w:t>
      </w:r>
    </w:p>
    <w:p>
      <w:pPr>
        <w:spacing w:after="60" w:before="0" w:line="240"/>
        <w:ind w:firstLine="720"/>
        <w:jc w:val="both"/>
      </w:pPr>
      <w:r>
        <w:rPr>
          <w:rFonts w:ascii="Times New Roman" w:cs="Times New Roman" w:eastAsia="Times New Roman" w:hAnsi="Times New Roman"/>
          <w:sz w:val="20"/>
          <w:szCs w:val="20"/>
        </w:rPr>
        <w:t xml:space="preserve">Gelecek çalışmalarda; çekirdek sürücü desteği ile rootkit tespiti, makine öğrenimi tabanlı anomali algılama, SIEM entegrasyonu ve Process Doppelgänging ile reflective DLL injection gibi ileri teknikler için ek modüller planlanmaktadır [18][19][20].</w:t>
      </w:r>
    </w:p>
    <w:p>
      <w:pPr>
        <w:spacing w:after="60" w:before="120" w:line="240"/>
        <w:jc w:val="center"/>
      </w:pPr>
      <w:r>
        <w:rPr>
          <w:rFonts w:ascii="Times New Roman" w:cs="Times New Roman" w:eastAsia="Times New Roman" w:hAnsi="Times New Roman"/>
          <w:b/>
          <w:bCs/>
          <w:caps/>
          <w:sz w:val="20"/>
          <w:szCs w:val="20"/>
        </w:rPr>
        <w:t xml:space="preserve">TEŞEKKÜR</w:t>
      </w:r>
    </w:p>
    <w:p>
      <w:pPr>
        <w:spacing w:after="60" w:before="0" w:line="240"/>
        <w:ind w:firstLine="720"/>
        <w:jc w:val="both"/>
      </w:pPr>
      <w:r>
        <w:rPr>
          <w:rFonts w:ascii="Times New Roman" w:cs="Times New Roman" w:eastAsia="Times New Roman" w:hAnsi="Times New Roman"/>
          <w:sz w:val="20"/>
          <w:szCs w:val="20"/>
        </w:rPr>
        <w:t xml:space="preserve">Bu çalışma, Kastamonu Üniversitesi Bilgisayar Mühendisliği Bölümü OOP dersi kapsamında yürütülmüş bir akademik projedir. Konu seçimi ve yönlendirme için ders sorumlusuna teşekkür edilir.</w:t>
      </w:r>
    </w:p>
    <w:p>
      <w:pPr>
        <w:spacing w:after="60" w:before="120" w:line="240"/>
        <w:jc w:val="center"/>
      </w:pPr>
      <w:r>
        <w:rPr>
          <w:rFonts w:ascii="Times New Roman" w:cs="Times New Roman" w:eastAsia="Times New Roman" w:hAnsi="Times New Roman"/>
          <w:b/>
          <w:bCs/>
          <w:caps/>
          <w:sz w:val="20"/>
          <w:szCs w:val="20"/>
        </w:rPr>
        <w:t xml:space="preserve">KAYNAKLAR</w:t>
      </w:r>
    </w:p>
    <w:p>
      <w:pPr>
        <w:spacing w:after="40" w:before="0" w:line="240"/>
        <w:jc w:val="both"/>
      </w:pPr>
      <w:r>
        <w:rPr>
          <w:rFonts w:ascii="Times New Roman" w:cs="Times New Roman" w:eastAsia="Times New Roman" w:hAnsi="Times New Roman"/>
          <w:sz w:val="18"/>
          <w:szCs w:val="18"/>
        </w:rPr>
        <w:t xml:space="preserve">[1] MITRE ATT&amp;CK, "T1055: Process Injection," 2023. [Çevrimiçi]. Erişim: https://attack.mitre.org/techniques/T1055/</w:t>
      </w:r>
    </w:p>
    <w:p>
      <w:pPr>
        <w:spacing w:after="40" w:before="0" w:line="240"/>
        <w:jc w:val="both"/>
      </w:pPr>
      <w:r>
        <w:rPr>
          <w:rFonts w:ascii="Times New Roman" w:cs="Times New Roman" w:eastAsia="Times New Roman" w:hAnsi="Times New Roman"/>
          <w:sz w:val="18"/>
          <w:szCs w:val="18"/>
        </w:rPr>
        <w:t xml:space="preserve">[2] MITRE Corporation, "ATT&amp;CK Framework v14," 2023.</w:t>
      </w:r>
    </w:p>
    <w:p>
      <w:pPr>
        <w:spacing w:after="40" w:before="0" w:line="240"/>
        <w:jc w:val="both"/>
      </w:pPr>
      <w:r>
        <w:rPr>
          <w:rFonts w:ascii="Times New Roman" w:cs="Times New Roman" w:eastAsia="Times New Roman" w:hAnsi="Times New Roman"/>
          <w:sz w:val="18"/>
          <w:szCs w:val="18"/>
        </w:rPr>
        <w:t xml:space="preserve">[3] T. Garfinkel ve M. Rosenblum, "A Virtual Machine Introspection Based Architecture for Intrusion Detection," NDSS, 2003.</w:t>
      </w:r>
    </w:p>
    <w:p>
      <w:pPr>
        <w:spacing w:after="40" w:before="0" w:line="240"/>
        <w:jc w:val="both"/>
      </w:pPr>
      <w:r>
        <w:rPr>
          <w:rFonts w:ascii="Times New Roman" w:cs="Times New Roman" w:eastAsia="Times New Roman" w:hAnsi="Times New Roman"/>
          <w:sz w:val="18"/>
          <w:szCs w:val="18"/>
        </w:rPr>
        <w:t xml:space="preserve">[4] G. Gu, P. Porras, V. Yegneswaran, M. Fong ve W. Lee, "BotHunter: Detecting Malware by Capturing Its Behavior," USENIX Security, 2007.</w:t>
      </w:r>
    </w:p>
    <w:p>
      <w:pPr>
        <w:spacing w:after="40" w:before="0" w:line="240"/>
        <w:jc w:val="both"/>
      </w:pPr>
      <w:r>
        <w:rPr>
          <w:rFonts w:ascii="Times New Roman" w:cs="Times New Roman" w:eastAsia="Times New Roman" w:hAnsi="Times New Roman"/>
          <w:sz w:val="18"/>
          <w:szCs w:val="18"/>
        </w:rPr>
        <w:t xml:space="preserve">[5] M. Sikorski ve A. Honig, Practical Malware Analysis. No Starch Press, 2012.</w:t>
      </w:r>
    </w:p>
    <w:p>
      <w:pPr>
        <w:spacing w:after="40" w:before="0" w:line="240"/>
        <w:jc w:val="both"/>
      </w:pPr>
      <w:r>
        <w:rPr>
          <w:rFonts w:ascii="Times New Roman" w:cs="Times New Roman" w:eastAsia="Times New Roman" w:hAnsi="Times New Roman"/>
          <w:sz w:val="18"/>
          <w:szCs w:val="18"/>
        </w:rPr>
        <w:t xml:space="preserve">[6] E. Eilam, Reversing: Secrets of Reverse Engineering. Wiley, 2005.</w:t>
      </w:r>
    </w:p>
    <w:p>
      <w:pPr>
        <w:spacing w:after="40" w:before="0" w:line="240"/>
        <w:jc w:val="both"/>
      </w:pPr>
      <w:r>
        <w:rPr>
          <w:rFonts w:ascii="Times New Roman" w:cs="Times New Roman" w:eastAsia="Times New Roman" w:hAnsi="Times New Roman"/>
          <w:sz w:val="18"/>
          <w:szCs w:val="18"/>
        </w:rPr>
        <w:t xml:space="preserve">[7] C. Eagle, The IDA Pro Book, 2. baskı. No Starch Press, 2011.</w:t>
      </w:r>
    </w:p>
    <w:p>
      <w:pPr>
        <w:spacing w:after="40" w:before="0" w:line="240"/>
        <w:jc w:val="both"/>
      </w:pPr>
      <w:r>
        <w:rPr>
          <w:rFonts w:ascii="Times New Roman" w:cs="Times New Roman" w:eastAsia="Times New Roman" w:hAnsi="Times New Roman"/>
          <w:sz w:val="18"/>
          <w:szCs w:val="18"/>
        </w:rPr>
        <w:t xml:space="preserve">[8] Microsoft, "Process and Thread Functions," Microsoft Docs, 2024. [Çevrimiçi]. Erişim: https://docs.microsoft.com</w:t>
      </w:r>
    </w:p>
    <w:p>
      <w:pPr>
        <w:spacing w:after="40" w:before="0" w:line="240"/>
        <w:jc w:val="both"/>
      </w:pPr>
      <w:r>
        <w:rPr>
          <w:rFonts w:ascii="Times New Roman" w:cs="Times New Roman" w:eastAsia="Times New Roman" w:hAnsi="Times New Roman"/>
          <w:sz w:val="18"/>
          <w:szCs w:val="18"/>
        </w:rPr>
        <w:t xml:space="preserve">[9] B. Dolan-Gavitt, T. Leek, M. Zhivich, J. Giffin ve W. Lee, "Virtuoso: Narrowing the Semantic Gap in Virtual Machine Introspection," IEEE S&amp;P, 2011.</w:t>
      </w:r>
    </w:p>
    <w:p>
      <w:pPr>
        <w:spacing w:after="40" w:before="0" w:line="240"/>
        <w:jc w:val="both"/>
      </w:pPr>
      <w:r>
        <w:rPr>
          <w:rFonts w:ascii="Times New Roman" w:cs="Times New Roman" w:eastAsia="Times New Roman" w:hAnsi="Times New Roman"/>
          <w:sz w:val="18"/>
          <w:szCs w:val="18"/>
        </w:rPr>
        <w:t xml:space="preserve">[10] P. Likarish, E. Jung ve I. Jo, "Obfuscated Malicious Javascript Detection using Classification Techniques," MALWARE, 2009.</w:t>
      </w:r>
    </w:p>
    <w:p>
      <w:pPr>
        <w:spacing w:after="40" w:before="0" w:line="240"/>
        <w:jc w:val="both"/>
      </w:pPr>
      <w:r>
        <w:rPr>
          <w:rFonts w:ascii="Times New Roman" w:cs="Times New Roman" w:eastAsia="Times New Roman" w:hAnsi="Times New Roman"/>
          <w:sz w:val="18"/>
          <w:szCs w:val="18"/>
        </w:rPr>
        <w:t xml:space="preserve">[11] A. Vasudevan ve R. Yerraballi, "Cobra: Fine-grained Malware Analysis using Stealth Localized-executions," IEEE S&amp;P, 2006.</w:t>
      </w:r>
    </w:p>
    <w:p>
      <w:pPr>
        <w:spacing w:after="40" w:before="0" w:line="240"/>
        <w:jc w:val="both"/>
      </w:pPr>
      <w:r>
        <w:rPr>
          <w:rFonts w:ascii="Times New Roman" w:cs="Times New Roman" w:eastAsia="Times New Roman" w:hAnsi="Times New Roman"/>
          <w:sz w:val="18"/>
          <w:szCs w:val="18"/>
        </w:rPr>
        <w:t xml:space="preserve">[12] J. Rutkowska, "Subverting Vista Kernel For Fun And Profit," SyScan, 2006.</w:t>
      </w:r>
    </w:p>
    <w:p>
      <w:pPr>
        <w:spacing w:after="40" w:before="0" w:line="240"/>
        <w:jc w:val="both"/>
      </w:pPr>
      <w:r>
        <w:rPr>
          <w:rFonts w:ascii="Times New Roman" w:cs="Times New Roman" w:eastAsia="Times New Roman" w:hAnsi="Times New Roman"/>
          <w:sz w:val="18"/>
          <w:szCs w:val="18"/>
        </w:rPr>
        <w:t xml:space="preserve">[13] M. Russinovich, D. Solomon ve A. Ionescu, Windows Internals, 7. baskı. Microsoft Press, 2017.</w:t>
      </w:r>
    </w:p>
    <w:p>
      <w:pPr>
        <w:spacing w:after="40" w:before="0" w:line="240"/>
        <w:jc w:val="both"/>
      </w:pPr>
      <w:r>
        <w:rPr>
          <w:rFonts w:ascii="Times New Roman" w:cs="Times New Roman" w:eastAsia="Times New Roman" w:hAnsi="Times New Roman"/>
          <w:sz w:val="18"/>
          <w:szCs w:val="18"/>
        </w:rPr>
        <w:t xml:space="preserve">[14] S. Hand, "Self-Protecting Mobile Agents Obfuscation Techniques Evaluation Report," DARPA, 2003.</w:t>
      </w:r>
    </w:p>
    <w:p>
      <w:pPr>
        <w:spacing w:after="40" w:before="0" w:line="240"/>
        <w:jc w:val="both"/>
      </w:pPr>
      <w:r>
        <w:rPr>
          <w:rFonts w:ascii="Times New Roman" w:cs="Times New Roman" w:eastAsia="Times New Roman" w:hAnsi="Times New Roman"/>
          <w:sz w:val="18"/>
          <w:szCs w:val="18"/>
        </w:rPr>
        <w:t xml:space="preserve">[15] N. Nethercote ve J. Seward, "Valgrind: A Framework for Heavyweight Dynamic Binary Instrumentation," ACM SIGPLAN, 2007.</w:t>
      </w:r>
    </w:p>
    <w:p>
      <w:pPr>
        <w:spacing w:after="40" w:before="0" w:line="240"/>
        <w:jc w:val="both"/>
      </w:pPr>
      <w:r>
        <w:rPr>
          <w:rFonts w:ascii="Times New Roman" w:cs="Times New Roman" w:eastAsia="Times New Roman" w:hAnsi="Times New Roman"/>
          <w:sz w:val="18"/>
          <w:szCs w:val="18"/>
        </w:rPr>
        <w:t xml:space="preserve">[16] C. Kolbitsch, P. Comparetti, C. Kruegel ve E. Kirda, "Effective and Efficient Malware Detection at the End Host," USENIX Security, 2009.</w:t>
      </w:r>
    </w:p>
    <w:p>
      <w:pPr>
        <w:spacing w:after="40" w:before="0" w:line="240"/>
        <w:jc w:val="both"/>
      </w:pPr>
      <w:r>
        <w:rPr>
          <w:rFonts w:ascii="Times New Roman" w:cs="Times New Roman" w:eastAsia="Times New Roman" w:hAnsi="Times New Roman"/>
          <w:sz w:val="18"/>
          <w:szCs w:val="18"/>
        </w:rPr>
        <w:t xml:space="preserve">[17] P. Royal, M. Halpin, D. Dagon, R. Edmonds ve W. Lee, "PolyUnpack: Automating the Hidden-Code Extraction of Unpack-Executing Malware," ACSAC, 2006.</w:t>
      </w:r>
    </w:p>
    <w:p>
      <w:pPr>
        <w:spacing w:after="40" w:before="0" w:line="240"/>
        <w:jc w:val="both"/>
      </w:pPr>
      <w:r>
        <w:rPr>
          <w:rFonts w:ascii="Times New Roman" w:cs="Times New Roman" w:eastAsia="Times New Roman" w:hAnsi="Times New Roman"/>
          <w:sz w:val="18"/>
          <w:szCs w:val="18"/>
        </w:rPr>
        <w:t xml:space="preserve">[18] U. Bayer, A. Moser, C. Kruegel ve E. Kirda, "Dynamic Analysis of Malicious Code," Journal in Computer Virology, 2006.</w:t>
      </w:r>
    </w:p>
    <w:p>
      <w:pPr>
        <w:spacing w:after="40" w:before="0" w:line="240"/>
        <w:jc w:val="both"/>
      </w:pPr>
      <w:r>
        <w:rPr>
          <w:rFonts w:ascii="Times New Roman" w:cs="Times New Roman" w:eastAsia="Times New Roman" w:hAnsi="Times New Roman"/>
          <w:sz w:val="18"/>
          <w:szCs w:val="18"/>
        </w:rPr>
        <w:t xml:space="preserve">[19] T. Holz ve F. Raynal, "Detecting Honeypots and Other Suspicious Environments," IEEE SMC, 2005.</w:t>
      </w:r>
    </w:p>
    <w:p>
      <w:pPr>
        <w:spacing w:after="40" w:before="0" w:line="240"/>
        <w:jc w:val="both"/>
      </w:pPr>
      <w:r>
        <w:rPr>
          <w:rFonts w:ascii="Times New Roman" w:cs="Times New Roman" w:eastAsia="Times New Roman" w:hAnsi="Times New Roman"/>
          <w:sz w:val="18"/>
          <w:szCs w:val="18"/>
        </w:rPr>
        <w:t xml:space="preserve">[20] R. Paleari, L. Martignoni, G. Roglia ve D. Bruschi, "A Fistful of Red-Pills: How to Automatically Generate Procedures to Detect CPU Emulators," USENIX WOOT, 2009.</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jc w:val="right"/>
    </w:pPr>
    <w:r>
      <w:rPr>
        <w:rFonts w:ascii="Times New Roman" w:cs="Times New Roman" w:eastAsia="Times New Roman" w:hAnsi="Times New Roman"/>
        <w:i/>
        <w:iCs/>
        <w:sz w:val="16"/>
        <w:szCs w:val="16"/>
      </w:rPr>
      <w:t xml:space="preserve">Güvenlik Araçları — Tersine Mühendislik (Savunmacı) | Kastamonu Üniversitesi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2026-05-22T08:31:38.875Z</dcterms:created>
  <dcterms:modified xsi:type="dcterms:W3CDTF">2026-05-22T08:31:38.889Z</dcterms:modified>
</cp:coreProperties>
</file>

<file path=docProps/custom.xml><?xml version="1.0" encoding="utf-8"?>
<Properties xmlns="http://schemas.openxmlformats.org/officeDocument/2006/custom-properties" xmlns:vt="http://schemas.openxmlformats.org/officeDocument/2006/docPropsVTypes"/>
</file>