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wrote and taught the module. Satya Benson (Williams College) contributed to the content. The pre-reading topics, fundamental readings, exercises, lecture slides, and daily-checkpoint form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strands they can state the central problem and one load-bearing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tie these together through the day’s two unifying threads,</w:t>
      </w:r>
      <w:r>
        <w:t xml:space="preserve"> </w:t>
      </w:r>
      <w:r>
        <w:rPr>
          <w:iCs/>
          <w:i/>
        </w:rPr>
        <w:t xml:space="preserve">reflective stability</w:t>
      </w:r>
      <w:r>
        <w:t xml:space="preserve"> </w:t>
      </w:r>
      <w:r>
        <w:t xml:space="preserve">and the search for</w:t>
      </w:r>
      <w:r>
        <w:t xml:space="preserve"> </w:t>
      </w:r>
      <w:r>
        <w:rPr>
          <w:iCs/>
          <w:i/>
        </w:rPr>
        <w:t xml:space="preserve">robust concepts (</w:t>
      </w:r>
      <w:r>
        <w:rPr>
          <w:iCs/>
          <w:i/>
        </w:rPr>
        <w:t xml:space="preserve">“</w:t>
      </w:r>
      <w:r>
        <w:rPr>
          <w:iCs/>
          <w:i/>
        </w:rPr>
        <w:t xml:space="preserve">true names</w:t>
      </w:r>
      <w:r>
        <w:rPr>
          <w:iCs/>
          <w:i/>
        </w:rPr>
        <w:t xml:space="preserve">”</w:t>
      </w:r>
      <w:r>
        <w:rPr>
          <w:iCs/>
          <w:i/>
        </w:rPr>
        <w:t xml:space="preserve">)</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the main strands and how they fit together.</w:t>
      </w:r>
    </w:p>
    <w:p>
      <w:pPr>
        <w:pStyle w:val="BodyText"/>
      </w:pPr>
      <w:r>
        <w:rPr>
          <w:bCs/>
          <w:b/>
        </w:rPr>
        <w:t xml:space="preserve">(How.)</w:t>
      </w:r>
      <w:r>
        <w:t xml:space="preserve"> </w:t>
      </w:r>
      <w:r>
        <w:t xml:space="preserve">Each student goes deep on one pre-reading track beforehand. A one-hour morning lecture lays out the unifying spine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2"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Provided refresher notes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Point students at the one matching their weakest area before the day.</w:t>
      </w:r>
    </w:p>
    <w:bookmarkEnd w:id="22"/>
    <w:bookmarkStart w:id="61" w:name="content"/>
    <w:p>
      <w:pPr>
        <w:pStyle w:val="Heading1"/>
      </w:pPr>
      <w:r>
        <w:t xml:space="preserve">Content</w:t>
      </w:r>
    </w:p>
    <w:p>
      <w:pPr>
        <w:pStyle w:val="FirstParagraph"/>
      </w:pPr>
      <w:r>
        <w:t xml:space="preserve">Slides:</w:t>
      </w:r>
      <w:r>
        <w:t xml:space="preserve"> </w:t>
      </w:r>
      <w:hyperlink r:id="rId23">
        <w:r>
          <w:rPr>
            <w:rStyle w:val="Hyperlink"/>
          </w:rPr>
          <w:t xml:space="preserve">Agent Foundations lecture slides</w:t>
        </w:r>
      </w:hyperlink>
      <w:r>
        <w:t xml:space="preserve">. Exercise sheet:</w:t>
      </w:r>
      <w:r>
        <w:t xml:space="preserve"> </w:t>
      </w:r>
      <w:hyperlink r:id="rId24">
        <w:r>
          <w:rPr>
            <w:rStyle w:val="Hyperlink"/>
          </w:rPr>
          <w:t xml:space="preserve">Agency exercises</w:t>
        </w:r>
      </w:hyperlink>
      <w:r>
        <w:t xml:space="preserve"> </w:t>
      </w:r>
      <w:r>
        <w:t xml:space="preserve">(worked solutions available to instructors).</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5">
        <w:r>
          <w:rPr>
            <w:rStyle w:val="Hyperlink"/>
          </w:rPr>
          <w:t xml:space="preserve">Embedded agency</w:t>
        </w:r>
      </w:hyperlink>
      <w:r>
        <w:t xml:space="preserve"> </w:t>
      </w:r>
      <w:r>
        <w:t xml:space="preserve">up to and including section 3.3, then section 4.1, and</w:t>
      </w:r>
      <w:r>
        <w:t xml:space="preserve"> </w:t>
      </w:r>
      <w:hyperlink r:id="rId26">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six strands</w:t>
      </w:r>
      <w:r>
        <w:t xml:space="preserve">”</w:t>
      </w:r>
      <w:r>
        <w:t xml:space="preserve"> </w:t>
      </w:r>
      <w:r>
        <w:t xml:space="preserve">below and read its first (most conceptual) listed reading.</w:t>
      </w:r>
    </w:p>
    <w:p>
      <w:pPr>
        <w:numPr>
          <w:ilvl w:val="0"/>
          <w:numId w:val="1002"/>
        </w:numPr>
        <w:pStyle w:val="Compact"/>
      </w:pPr>
      <w:r>
        <w:t xml:space="preserve">Skim the takeaways at the end of each strand summary.</w:t>
      </w:r>
    </w:p>
    <w:bookmarkEnd w:id="27"/>
    <w:bookmarkStart w:id="38" w:name="main-content"/>
    <w:p>
      <w:pPr>
        <w:pStyle w:val="Heading2"/>
      </w:pPr>
      <w:r>
        <w:t xml:space="preserve">Main content</w:t>
      </w:r>
    </w:p>
    <w:p>
      <w:pPr>
        <w:pStyle w:val="FirstParagraph"/>
      </w:pPr>
      <w:r>
        <w:t xml:space="preserve">The day has five sub-modules: the</w:t>
      </w:r>
      <w:r>
        <w:t xml:space="preserve"> </w:t>
      </w:r>
      <w:r>
        <w:rPr>
          <w:bCs/>
          <w:b/>
        </w:rPr>
        <w:t xml:space="preserve">morning lecture</w:t>
      </w:r>
      <w:r>
        <w:t xml:space="preserve">, the</w:t>
      </w:r>
      <w:r>
        <w:t xml:space="preserve"> </w:t>
      </w:r>
      <w:r>
        <w:rPr>
          <w:bCs/>
          <w:b/>
        </w:rPr>
        <w:t xml:space="preserve">fundamental reading</w:t>
      </w:r>
      <w:r>
        <w:t xml:space="preserve">, the</w:t>
      </w:r>
      <w:r>
        <w:t xml:space="preserve"> </w:t>
      </w:r>
      <w:r>
        <w:rPr>
          <w:bCs/>
          <w:b/>
        </w:rPr>
        <w:t xml:space="preserve">cross-pollination discussion</w:t>
      </w:r>
      <w:r>
        <w:t xml:space="preserve">, the</w:t>
      </w:r>
      <w:r>
        <w:t xml:space="preserve"> </w:t>
      </w:r>
      <w:r>
        <w:rPr>
          <w:bCs/>
          <w:b/>
        </w:rPr>
        <w:t xml:space="preserve">exercise session</w:t>
      </w:r>
      <w:r>
        <w:t xml:space="preserve">, and a closing</w:t>
      </w:r>
      <w:r>
        <w:t xml:space="preserve"> </w:t>
      </w:r>
      <w:r>
        <w:rPr>
          <w:bCs/>
          <w:b/>
        </w:rPr>
        <w:t xml:space="preserve">daily checkpoint</w:t>
      </w:r>
      <w:r>
        <w:t xml:space="preserve">.</w:t>
      </w:r>
    </w:p>
    <w:bookmarkStart w:id="28" w:name="morning-lecture"/>
    <w:p>
      <w:pPr>
        <w:pStyle w:val="Heading3"/>
      </w:pPr>
      <w:r>
        <w:t xml:space="preserve">Morning lecture</w:t>
      </w:r>
    </w:p>
    <w:p>
      <w:pPr>
        <w:pStyle w:val="FirstParagraph"/>
      </w:pPr>
      <w:r>
        <w:rPr>
          <w:iCs/>
          <w:i/>
        </w:rPr>
        <w:t xml:space="preserve">Intent: give students the through-line (the unifying spine) that ties the six pre-reading tracks together, so the rest of the day reads as one picture rather than six disconnected topics. A teacher short on time should protect the embedded-agency and reflective-stability framing above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28"/>
    <w:bookmarkStart w:id="30" w:name="the-six-strands-pre-reading-tracks"/>
    <w:p>
      <w:pPr>
        <w:pStyle w:val="Heading3"/>
      </w:pPr>
      <w:r>
        <w:t xml:space="preserve">The six strands (pre-reading tracks)</w:t>
      </w:r>
    </w:p>
    <w:p>
      <w:pPr>
        <w:pStyle w:val="FirstParagraph"/>
      </w:pPr>
      <w:r>
        <w:rPr>
          <w:iCs/>
          <w:i/>
        </w:rPr>
        <w:t xml:space="preserve">Each student reads one track in advance. The summaries below are self-contained at the conceptual level; the readings in</w:t>
      </w:r>
      <w:r>
        <w:rPr>
          <w:iCs/>
          <w:i/>
        </w:rPr>
        <w:t xml:space="preserve"> </w:t>
      </w:r>
      <w:r>
        <w:rPr>
          <w:iCs/>
          <w:i/>
        </w:rPr>
        <w:t xml:space="preserve">“</w:t>
      </w:r>
      <w:r>
        <w:rPr>
          <w:iCs/>
          <w:i/>
        </w:rPr>
        <w:t xml:space="preserve">Learn more</w:t>
      </w:r>
      <w:r>
        <w:rPr>
          <w:iCs/>
          <w:i/>
        </w:rPr>
        <w:t xml:space="preserve">”</w:t>
      </w:r>
      <w:r>
        <w:rPr>
          <w:iCs/>
          <w:i/>
        </w:rPr>
        <w:t xml:space="preserve"> </w:t>
      </w:r>
      <w:r>
        <w:rPr>
          <w:iCs/>
          <w:i/>
        </w:rPr>
        <w:t xml:space="preserve">go deeper.</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p>
    <w:p>
      <w:pPr>
        <w:pStyle w:val="BodyText"/>
      </w:pPr>
      <w:r>
        <w:rPr>
          <w:bCs/>
          <w:b/>
        </w:rPr>
        <w:t xml:space="preserve">4. Decision theory.</w:t>
      </w:r>
      <w:r>
        <w:t xml:space="preserve"> </w:t>
      </w:r>
      <w:r>
        <w:t xml:space="preserve">For a dualistic agent, optimization is easy: pick the action maximizing expected utility. For an embedded agent, an action is just another fact about the world, so</w:t>
      </w:r>
      <w:r>
        <w:t xml:space="preserve"> </w:t>
      </w:r>
      <w:r>
        <w:t xml:space="preserve">“</w:t>
      </w:r>
      <w:r>
        <w:t xml:space="preserve">what would happen if I acted differently</w:t>
      </w:r>
      <w:r>
        <w:t xml:space="preserve">”</w:t>
      </w:r>
      <w:r>
        <w:t xml:space="preserve"> </w:t>
      </w:r>
      <w:r>
        <w:t xml:space="preserve">must be</w:t>
      </w:r>
      <w:r>
        <w:t xml:space="preserve"> </w:t>
      </w:r>
      <w:r>
        <w:rPr>
          <w:iCs/>
          <w:i/>
        </w:rPr>
        <w:t xml:space="preserve">constructed</w:t>
      </w:r>
      <w:r>
        <w:t xml:space="preserve">, not read off. Different decision theories construct this counterfactual differently: condition on the action as evidence (EDT), intervene causally (CDT), or reason about the logical consequences of being the kind of agent that runs a given procedure (FDT/UDT). Decision theory is a</w:t>
      </w:r>
      <w:r>
        <w:t xml:space="preserve"> </w:t>
      </w:r>
      <w:r>
        <w:rPr>
          <w:iCs/>
          <w:i/>
        </w:rPr>
        <w:t xml:space="preserve">reflectively-consistent degree of freedom</w:t>
      </w:r>
      <w:r>
        <w:t xml:space="preserve">: a bad decision theory is not automatically corrected as the agent gets smarter, so it must be got right deliberately.</w:t>
      </w:r>
      <w:r>
        <w:t xml:space="preserve"> </w:t>
      </w:r>
      <w:r>
        <w:rPr>
          <w:iCs/>
          <w:i/>
        </w:rPr>
        <w:t xml:space="preserve">This strand previews the full Decision Theory day.</w:t>
      </w:r>
    </w:p>
    <w:p>
      <w:pPr>
        <w:pStyle w:val="BodyText"/>
      </w:pPr>
      <w:r>
        <w:rPr>
          <w:bCs/>
          <w:b/>
        </w:rPr>
        <w:t xml:space="preserve">5.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t xml:space="preserve">A self-contained note developing this strand,</w:t>
      </w:r>
      <w:r>
        <w:t xml:space="preserve"> </w:t>
      </w:r>
      <w:hyperlink r:id="rId29">
        <w:r>
          <w:rPr>
            <w:rStyle w:val="Hyperlink"/>
          </w:rPr>
          <w:t xml:space="preserve">Optimization and thermodynamics</w:t>
        </w:r>
      </w:hyperlink>
      <w:r>
        <w:t xml:space="preserve">, is the pre-reading for this track (read entirely; the appendix is optional).</w:t>
      </w:r>
    </w:p>
    <w:p>
      <w:pPr>
        <w:pStyle w:val="BodyText"/>
      </w:pPr>
      <w:r>
        <w:rPr>
          <w:bCs/>
          <w:b/>
        </w:rPr>
        <w:t xml:space="preserve">6.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p>
    <w:bookmarkEnd w:id="30"/>
    <w:bookmarkStart w:id="33" w:name="fundamental-reading"/>
    <w:p>
      <w:pPr>
        <w:pStyle w:val="Heading3"/>
      </w:pPr>
      <w:r>
        <w:t xml:space="preserve">Fundamental reading</w:t>
      </w:r>
    </w:p>
    <w:p>
      <w:pPr>
        <w:pStyle w:val="FirstParagraph"/>
      </w:pPr>
      <w:r>
        <w:rPr>
          <w:iCs/>
          <w:i/>
        </w:rPr>
        <w:t xml:space="preserve">Intent: a shared bird’s-eye view that ties the six tracks to embedded agency, so the mixed-group discussion has common ground. Everyone reads these on the day (skimming beforehand is fine).</w:t>
      </w:r>
    </w:p>
    <w:p>
      <w:pPr>
        <w:numPr>
          <w:ilvl w:val="0"/>
          <w:numId w:val="1004"/>
        </w:numPr>
        <w:pStyle w:val="Compact"/>
      </w:pPr>
      <w:hyperlink r:id="rId25">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26">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31">
        <w:r>
          <w:rPr>
            <w:rStyle w:val="Hyperlink"/>
          </w:rPr>
          <w:t xml:space="preserve">Reflectively consistent degree of freedom</w:t>
        </w:r>
      </w:hyperlink>
      <w:r>
        <w:t xml:space="preserve">: read entirely. The precise notion behind</w:t>
      </w:r>
      <w:r>
        <w:t xml:space="preserve"> </w:t>
      </w:r>
      <w:r>
        <w:t xml:space="preserve">“</w:t>
      </w:r>
      <w:r>
        <w:t xml:space="preserve">decision theory is something you must get right deliberately.</w:t>
      </w:r>
      <w:r>
        <w:t xml:space="preserve">”</w:t>
      </w:r>
    </w:p>
    <w:p>
      <w:pPr>
        <w:numPr>
          <w:ilvl w:val="0"/>
          <w:numId w:val="1004"/>
        </w:numPr>
        <w:pStyle w:val="Compact"/>
      </w:pPr>
      <w:hyperlink r:id="rId32">
        <w:r>
          <w:rPr>
            <w:rStyle w:val="Hyperlink"/>
          </w:rPr>
          <w:t xml:space="preserve">General purpose search</w:t>
        </w:r>
      </w:hyperlink>
      <w:r>
        <w:t xml:space="preserve">: read entirely. Why a capable mind plausibly contains a retargetable search process.</w:t>
      </w:r>
    </w:p>
    <w:bookmarkEnd w:id="33"/>
    <w:bookmarkStart w:id="34" w:name="cross-pollination-discussion"/>
    <w:p>
      <w:pPr>
        <w:pStyle w:val="Heading3"/>
      </w:pPr>
      <w:r>
        <w:t xml:space="preserve">Cross-pollination discussion</w:t>
      </w:r>
    </w:p>
    <w:p>
      <w:pPr>
        <w:pStyle w:val="FirstParagraph"/>
      </w:pPr>
      <w:r>
        <w:rPr>
          <w:iCs/>
          <w:i/>
        </w:rPr>
        <w:t xml:space="preserve">Intent: each student knows one strand deeply; the discussion makes them build the connections between strands, which is where the unified picture of embedded agency actually lives. Groups mix tracks so no one can answer alone.</w:t>
      </w:r>
    </w:p>
    <w:p>
      <w:pPr>
        <w:pStyle w:val="BodyText"/>
      </w:pPr>
      <w:r>
        <w:t xml:space="preserve">Form small groups that mix pre-reading tracks. The goal is to find connections between your different topics and develop a shared picture of how they relate to embedded agency. Suggested prompts (go beyond them freely):</w:t>
      </w:r>
    </w:p>
    <w:p>
      <w:pPr>
        <w:numPr>
          <w:ilvl w:val="0"/>
          <w:numId w:val="1005"/>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05"/>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05"/>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How does logical uncertainty interact with the foundations of coherence?</w:t>
      </w:r>
    </w:p>
    <w:p>
      <w:pPr>
        <w:numPr>
          <w:ilvl w:val="0"/>
          <w:numId w:val="1005"/>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05"/>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05"/>
        </w:numPr>
        <w:pStyle w:val="Compact"/>
      </w:pPr>
      <w:r>
        <w:rPr>
          <w:bCs/>
          <w:b/>
        </w:rPr>
        <w:t xml:space="preserve">Consequentialist foundations × logical induction.</w:t>
      </w:r>
      <w:r>
        <w:t xml:space="preserve"> </w:t>
      </w:r>
      <w:r>
        <w:t xml:space="preserve">Coherence assumes the agent can price any bet correctly; the logical-induction criterion is the</w:t>
      </w:r>
      <w:r>
        <w:t xml:space="preserve"> </w:t>
      </w:r>
      <w:r>
        <w:t xml:space="preserve">“</w:t>
      </w:r>
      <w:r>
        <w:t xml:space="preserve">no efficient Dutch book</w:t>
      </w:r>
      <w:r>
        <w:t xml:space="preserve">”</w:t>
      </w:r>
      <w:r>
        <w:t xml:space="preserve"> </w:t>
      </w:r>
      <w:r>
        <w:t xml:space="preserve">analogue. How does logical uncertainty reshape coherence arguments?</w:t>
      </w:r>
    </w:p>
    <w:bookmarkEnd w:id="34"/>
    <w:bookmarkStart w:id="35"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4">
        <w:r>
          <w:rPr>
            <w:rStyle w:val="Hyperlink"/>
          </w:rPr>
          <w:t xml:space="preserve">exercise sheet</w:t>
        </w:r>
      </w:hyperlink>
      <w:r>
        <w:t xml:space="preserve">; worked solutions available to instructors), grouped by topic:</w:t>
      </w:r>
    </w:p>
    <w:p>
      <w:pPr>
        <w:pStyle w:val="BodyText"/>
      </w:pPr>
      <w:r>
        <w:rPr>
          <w:iCs/>
          <w:i/>
        </w:rPr>
        <w:t xml:space="preserve">Logical uncertainty and self-reference.</w:t>
      </w:r>
    </w:p>
    <w:p>
      <w:pPr>
        <w:numPr>
          <w:ilvl w:val="0"/>
          <w:numId w:val="1006"/>
        </w:numPr>
        <w:pStyle w:val="Compact"/>
      </w:pPr>
      <w:r>
        <w:rPr>
          <w:bCs/>
          <w:b/>
        </w:rPr>
        <w:t xml:space="preserve">Exercise 1: Gödel’s second incompleteness theorem</w:t>
      </w:r>
      <w:r>
        <w:t xml:space="preserve"> </w:t>
      </w:r>
      <w:r>
        <w:t xml:space="preserve">(difficulty 4/5, importance 4/5).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6"/>
        </w:numPr>
        <w:pStyle w:val="Compact"/>
      </w:pPr>
      <w:r>
        <w:rPr>
          <w:bCs/>
          <w:b/>
        </w:rPr>
        <w:t xml:space="preserve">Exercise 2: Löb’s theorem</w:t>
      </w:r>
      <w:r>
        <w:t xml:space="preserve"> </w:t>
      </w:r>
      <w:r>
        <w:t xml:space="preserve">(difficulty 3/5, importance 5/5). The three provability properties (necessitation, distribution, the Löb condition), a full proof of the theorem, and an application: FairBot programs cooperate by Löb’s theorem. Parts (a-b) properties, (c-d) the proof, (e) FairBot.</w:t>
      </w:r>
    </w:p>
    <w:p>
      <w:pPr>
        <w:pStyle w:val="FirstParagraph"/>
      </w:pPr>
      <w:r>
        <w:rPr>
          <w:iCs/>
          <w:i/>
        </w:rPr>
        <w:t xml:space="preserve">Coherence and consequentialism.</w:t>
      </w:r>
    </w:p>
    <w:p>
      <w:pPr>
        <w:numPr>
          <w:ilvl w:val="0"/>
          <w:numId w:val="1007"/>
        </w:numPr>
        <w:pStyle w:val="Compact"/>
      </w:pPr>
      <w:r>
        <w:rPr>
          <w:bCs/>
          <w:b/>
        </w:rPr>
        <w:t xml:space="preserve">Exercise 3: The complete class theorem</w:t>
      </w:r>
      <w:r>
        <w:t xml:space="preserve"> </w:t>
      </w:r>
      <w:r>
        <w:t xml:space="preserve">(difficulty 3/5, importance 5/5).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Descriptive agent foundations.</w:t>
      </w:r>
    </w:p>
    <w:p>
      <w:pPr>
        <w:numPr>
          <w:ilvl w:val="0"/>
          <w:numId w:val="1008"/>
        </w:numPr>
        <w:pStyle w:val="Compact"/>
      </w:pPr>
      <w:r>
        <w:rPr>
          <w:bCs/>
          <w:b/>
        </w:rPr>
        <w:t xml:space="preserve">Exercise 4: The do-divergence theorem</w:t>
      </w:r>
      <w:r>
        <w:t xml:space="preserve"> </w:t>
      </w:r>
      <w:r>
        <w:t xml:space="preserve">(difficulty 2/5, importance 4/5).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numPr>
          <w:ilvl w:val="0"/>
          <w:numId w:val="1008"/>
        </w:numPr>
        <w:pStyle w:val="Compact"/>
      </w:pPr>
      <w:r>
        <w:rPr>
          <w:bCs/>
          <w:b/>
        </w:rPr>
        <w:t xml:space="preserve">Exercise 5: Channel additivity</w:t>
      </w:r>
      <w:r>
        <w:t xml:space="preserve"> </w:t>
      </w:r>
      <w:r>
        <w:t xml:space="preserve">(difficulty 3/5, importance 3/5). Optimal input distributions over independent channels: mutual information decomposes across channels, independence improves throughput, and an optimal policy need not coordinate across a modular environment (connecting modularity to tractable optimization).</w:t>
      </w:r>
    </w:p>
    <w:bookmarkEnd w:id="35"/>
    <w:bookmarkStart w:id="37"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w:t>
      </w:r>
      <w:r>
        <w:t xml:space="preserve"> </w:t>
      </w:r>
      <w:hyperlink r:id="rId36">
        <w:r>
          <w:rPr>
            <w:rStyle w:val="Hyperlink"/>
          </w:rPr>
          <w:t xml:space="preserve">https://form.jotform.com/261724721333048</w:t>
        </w:r>
      </w:hyperlink>
      <w:r>
        <w:t xml:space="preserve">. The questions below are a self-contained version; answers at the end of this section.</w:t>
      </w:r>
    </w:p>
    <w:p>
      <w:pPr>
        <w:numPr>
          <w:ilvl w:val="0"/>
          <w:numId w:val="1009"/>
        </w:numPr>
        <w:pStyle w:val="Compact"/>
      </w:pPr>
      <w:r>
        <w:t xml:space="preserve">What does it mean for a safety property to be</w:t>
      </w:r>
      <w:r>
        <w:t xml:space="preserve"> </w:t>
      </w:r>
      <w:r>
        <w:rPr>
          <w:iCs/>
          <w:i/>
        </w:rPr>
        <w:t xml:space="preserve">reflectively stable</w:t>
      </w:r>
      <w:r>
        <w:t xml:space="preserve">? (a) It holds on the training distribution. (b) It is invariant under the agent’s self-modification and successor-building. (c) It can be expressed in formal logic. (d) It maximizes expected utility.</w:t>
      </w:r>
    </w:p>
    <w:p>
      <w:pPr>
        <w:numPr>
          <w:ilvl w:val="0"/>
          <w:numId w:val="1009"/>
        </w:numPr>
        <w:pStyle w:val="Compact"/>
      </w:pPr>
      <w:r>
        <w:t xml:space="preserve">The complete class theorem tells us that a non-dominated agent: (a) has an explicit utility function in its code; (b) can be</w:t>
      </w:r>
      <w:r>
        <w:t xml:space="preserve"> </w:t>
      </w:r>
      <w:r>
        <w:rPr>
          <w:iCs/>
          <w:i/>
        </w:rPr>
        <w:t xml:space="preserve">described</w:t>
      </w:r>
      <w:r>
        <w:t xml:space="preserve"> </w:t>
      </w:r>
      <w:r>
        <w:t xml:space="preserve">as maximizing expected utility under some prior; (c) is conscious; (d) must use causal decision theory.</w:t>
      </w:r>
    </w:p>
    <w:p>
      <w:pPr>
        <w:numPr>
          <w:ilvl w:val="0"/>
          <w:numId w:val="1009"/>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Proofs are too slow. (b) Löb’s theorem: provable self-trust collapses into proving everything. (c) It lacks enough memory. (d) Gödel sentences are false.</w:t>
      </w:r>
    </w:p>
    <w:p>
      <w:pPr>
        <w:numPr>
          <w:ilvl w:val="0"/>
          <w:numId w:val="1009"/>
        </w:numPr>
        <w:pStyle w:val="Compact"/>
      </w:pPr>
      <w:r>
        <w:t xml:space="preserve">The logical-induction criterion requires that: (a) no trader at all can exploit the market; (b) no</w:t>
      </w:r>
      <w:r>
        <w:t xml:space="preserve"> </w:t>
      </w:r>
      <w:r>
        <w:rPr>
          <w:iCs/>
          <w:i/>
        </w:rPr>
        <w:t xml:space="preserve">efficiently computable</w:t>
      </w:r>
      <w:r>
        <w:t xml:space="preserve"> </w:t>
      </w:r>
      <w:r>
        <w:t xml:space="preserve">trader can exploit the market for unbounded profit; (c) prices equal frequencies; (d) the agent is logically omniscient.</w:t>
      </w:r>
    </w:p>
    <w:p>
      <w:pPr>
        <w:numPr>
          <w:ilvl w:val="0"/>
          <w:numId w:val="1009"/>
        </w:numPr>
        <w:pStyle w:val="Compact"/>
      </w:pPr>
      <w:r>
        <w:t xml:space="preserve">“</w:t>
      </w:r>
      <w:r>
        <w:t xml:space="preserve">Optimization is local entropy reduction</w:t>
      </w:r>
      <w:r>
        <w:t xml:space="preserve">”</w:t>
      </w:r>
      <w:r>
        <w:t xml:space="preserve"> </w:t>
      </w:r>
      <w:r>
        <w:t xml:space="preserve">plus Touchette-Lloyd implies: (a) entropy never decreases anywhere; (b) steering beyond a blind baseline is bounded by the agent’s mutual information with what it steers; (c) optimization is impossible; (d) entropy is subjective.</w:t>
      </w:r>
    </w:p>
    <w:p>
      <w:pPr>
        <w:numPr>
          <w:ilvl w:val="0"/>
          <w:numId w:val="1009"/>
        </w:numPr>
        <w:pStyle w:val="Compact"/>
      </w:pPr>
      <w:r>
        <w:t xml:space="preserve">Selection theorems aim to show that: (a) any non-dominated strategy can be described as EU maximization; (b) systems selected to achieve a goal in an environment must contain certain agent-like structure; (c) evolution is optimal; (d) all agents are Bayesian.</w:t>
      </w:r>
    </w:p>
    <w:p>
      <w:pPr>
        <w:pStyle w:val="FirstParagraph"/>
      </w:pPr>
      <w:r>
        <w:rPr>
          <w:iCs/>
          <w:i/>
        </w:rPr>
        <w:t xml:space="preserve">Answers: 1(b), 2(b), 3(b), 4(b), 5(b), 6(b).</w:t>
      </w:r>
    </w:p>
    <w:bookmarkEnd w:id="37"/>
    <w:bookmarkEnd w:id="38"/>
    <w:bookmarkStart w:id="60" w:name="learn-more"/>
    <w:p>
      <w:pPr>
        <w:pStyle w:val="Heading2"/>
      </w:pPr>
      <w:r>
        <w:t xml:space="preserve">Learn more</w:t>
      </w:r>
    </w:p>
    <w:p>
      <w:pPr>
        <w:pStyle w:val="FirstParagraph"/>
      </w:pPr>
      <w:r>
        <w:t xml:space="preserve">Reading lists by strand (the pre-reading tracks), then further pointers.</w:t>
      </w:r>
    </w:p>
    <w:p>
      <w:pPr>
        <w:pStyle w:val="BodyText"/>
      </w:pPr>
      <w:r>
        <w:rPr>
          <w:bCs/>
          <w:b/>
        </w:rPr>
        <w:t xml:space="preserve">Consequentialist foundations.</w:t>
      </w:r>
      <w:r>
        <w:t xml:space="preserve"> </w:t>
      </w:r>
      <w:r>
        <w:t xml:space="preserve">-</w:t>
      </w:r>
      <w:r>
        <w:t xml:space="preserve"> </w:t>
      </w:r>
      <w:hyperlink r:id="rId39">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r>
        <w:t xml:space="preserve">-</w:t>
      </w:r>
      <w:r>
        <w:t xml:space="preserve"> </w:t>
      </w:r>
      <w:hyperlink r:id="rId40">
        <w:r>
          <w:rPr>
            <w:rStyle w:val="Hyperlink"/>
          </w:rPr>
          <w:t xml:space="preserve">The measuring stick of utility</w:t>
        </w:r>
      </w:hyperlink>
      <w:r>
        <w:t xml:space="preserve">.</w:t>
      </w:r>
      <w:r>
        <w:t xml:space="preserve"> </w:t>
      </w:r>
      <w:r>
        <w:t xml:space="preserve">-</w:t>
      </w:r>
      <w:r>
        <w:t xml:space="preserve"> </w:t>
      </w:r>
      <w:hyperlink r:id="rId41">
        <w:r>
          <w:rPr>
            <w:rStyle w:val="Hyperlink"/>
          </w:rPr>
          <w:t xml:space="preserve">Complete class: consequentialist foundations</w:t>
        </w:r>
      </w:hyperlink>
      <w:r>
        <w:t xml:space="preserve">.</w:t>
      </w:r>
    </w:p>
    <w:p>
      <w:pPr>
        <w:pStyle w:val="BodyText"/>
      </w:pPr>
      <w:r>
        <w:rPr>
          <w:bCs/>
          <w:b/>
        </w:rPr>
        <w:t xml:space="preserve">Löb’s theorem and tiling agents.</w:t>
      </w:r>
      <w:r>
        <w:t xml:space="preserve"> </w:t>
      </w:r>
      <w:r>
        <w:t xml:space="preserve">-</w:t>
      </w:r>
      <w:r>
        <w:t xml:space="preserve"> </w:t>
      </w:r>
      <w:hyperlink r:id="rId42">
        <w:r>
          <w:rPr>
            <w:rStyle w:val="Hyperlink"/>
          </w:rPr>
          <w:t xml:space="preserve">Introduction to Löb’s theorem</w:t>
        </w:r>
      </w:hyperlink>
      <w:r>
        <w:t xml:space="preserve"> </w:t>
      </w:r>
      <w:r>
        <w:t xml:space="preserve">(up to and including section 3).</w:t>
      </w:r>
      <w:r>
        <w:t xml:space="preserve"> </w:t>
      </w:r>
      <w:r>
        <w:t xml:space="preserve">-</w:t>
      </w:r>
      <w:r>
        <w:t xml:space="preserve"> </w:t>
      </w:r>
      <w:hyperlink r:id="rId43">
        <w:r>
          <w:rPr>
            <w:rStyle w:val="Hyperlink"/>
          </w:rPr>
          <w:t xml:space="preserve">Vingean reflection</w:t>
        </w:r>
      </w:hyperlink>
      <w:r>
        <w:t xml:space="preserve">.</w:t>
      </w:r>
      <w:r>
        <w:t xml:space="preserve"> </w:t>
      </w:r>
      <w:r>
        <w:t xml:space="preserve">-</w:t>
      </w:r>
      <w:r>
        <w:t xml:space="preserve"> </w:t>
      </w:r>
      <w:hyperlink r:id="rId44">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Logical induction.</w:t>
      </w:r>
      <w:r>
        <w:t xml:space="preserve"> </w:t>
      </w:r>
      <w:r>
        <w:t xml:space="preserve">-</w:t>
      </w:r>
      <w:r>
        <w:t xml:space="preserve"> </w:t>
      </w:r>
      <w:hyperlink r:id="rId45">
        <w:r>
          <w:rPr>
            <w:rStyle w:val="Hyperlink"/>
          </w:rPr>
          <w:t xml:space="preserve">An intuitive guide to Garrabrant induction</w:t>
        </w:r>
      </w:hyperlink>
      <w:r>
        <w:t xml:space="preserve">.</w:t>
      </w:r>
      <w:r>
        <w:t xml:space="preserve"> </w:t>
      </w:r>
      <w:r>
        <w:t xml:space="preserve">-</w:t>
      </w:r>
      <w:r>
        <w:t xml:space="preserve"> </w:t>
      </w:r>
      <w:hyperlink r:id="rId46">
        <w:r>
          <w:rPr>
            <w:rStyle w:val="Hyperlink"/>
          </w:rPr>
          <w:t xml:space="preserve">Logical induction</w:t>
        </w:r>
      </w:hyperlink>
      <w:r>
        <w:t xml:space="preserve"> </w:t>
      </w:r>
      <w:r>
        <w:t xml:space="preserve">(chapters 1 and 3; skim chapter 4).</w:t>
      </w:r>
    </w:p>
    <w:p>
      <w:pPr>
        <w:pStyle w:val="BodyText"/>
      </w:pPr>
      <w:r>
        <w:rPr>
          <w:bCs/>
          <w:b/>
        </w:rPr>
        <w:t xml:space="preserve">Decision theory.</w:t>
      </w:r>
      <w:r>
        <w:t xml:space="preserve"> </w:t>
      </w:r>
      <w:r>
        <w:t xml:space="preserve">Previews the Decision Theory day; see that module’s reading list (start with the</w:t>
      </w:r>
      <w:r>
        <w:t xml:space="preserve"> </w:t>
      </w:r>
      <w:hyperlink r:id="rId47">
        <w:r>
          <w:rPr>
            <w:rStyle w:val="Hyperlink"/>
          </w:rPr>
          <w:t xml:space="preserve">FDT paper</w:t>
        </w:r>
      </w:hyperlink>
      <w:r>
        <w:t xml:space="preserve">).</w:t>
      </w:r>
    </w:p>
    <w:p>
      <w:pPr>
        <w:pStyle w:val="BodyText"/>
      </w:pPr>
      <w:r>
        <w:rPr>
          <w:bCs/>
          <w:b/>
        </w:rPr>
        <w:t xml:space="preserve">Optimization and thermodynamics.</w:t>
      </w:r>
      <w:r>
        <w:t xml:space="preserve"> </w:t>
      </w:r>
      <w:r>
        <w:t xml:space="preserve">- Primary reading for the track:</w:t>
      </w:r>
      <w:r>
        <w:t xml:space="preserve"> </w:t>
      </w:r>
      <w:hyperlink r:id="rId29">
        <w:r>
          <w:rPr>
            <w:rStyle w:val="Hyperlink"/>
          </w:rPr>
          <w:t xml:space="preserve">Optimization and thermodynamics</w:t>
        </w:r>
      </w:hyperlink>
      <w:r>
        <w:t xml:space="preserve"> </w:t>
      </w:r>
      <w:r>
        <w:t xml:space="preserve">(read entirely; appendix optional), a self-contained development of the strand. Its underlying sources, for going deeper:</w:t>
      </w:r>
      <w:r>
        <w:t xml:space="preserve"> </w:t>
      </w:r>
      <w:r>
        <w:t xml:space="preserve">-</w:t>
      </w:r>
      <w:r>
        <w:t xml:space="preserve"> </w:t>
      </w:r>
      <w:hyperlink r:id="rId48">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r>
        <w:t xml:space="preserve">-</w:t>
      </w:r>
      <w:r>
        <w:t xml:space="preserve"> </w:t>
      </w:r>
      <w:hyperlink r:id="rId49">
        <w:r>
          <w:rPr>
            <w:rStyle w:val="Hyperlink"/>
          </w:rPr>
          <w:t xml:space="preserve">Generalized heat engine</w:t>
        </w:r>
      </w:hyperlink>
      <w:r>
        <w:t xml:space="preserve">.</w:t>
      </w:r>
      <w:r>
        <w:t xml:space="preserve"> </w:t>
      </w:r>
      <w:r>
        <w:t xml:space="preserve">-</w:t>
      </w:r>
      <w:r>
        <w:t xml:space="preserve"> </w:t>
      </w:r>
      <w:hyperlink r:id="rId50">
        <w:r>
          <w:rPr>
            <w:rStyle w:val="Hyperlink"/>
          </w:rPr>
          <w:t xml:space="preserve">Algorithmic thermodynamics and three types of optimization</w:t>
        </w:r>
      </w:hyperlink>
      <w:r>
        <w:t xml:space="preserve">.</w:t>
      </w:r>
      <w:r>
        <w:t xml:space="preserve"> </w:t>
      </w:r>
      <w:r>
        <w:t xml:space="preserve">- Optional:</w:t>
      </w:r>
      <w:r>
        <w:t xml:space="preserve"> </w:t>
      </w:r>
      <w:hyperlink r:id="rId51">
        <w:r>
          <w:rPr>
            <w:rStyle w:val="Hyperlink"/>
          </w:rPr>
          <w:t xml:space="preserve">When bits of optimization imply bits of modeling</w:t>
        </w:r>
      </w:hyperlink>
      <w:r>
        <w:t xml:space="preserve">. Foundational paper:</w:t>
      </w:r>
      <w:r>
        <w:t xml:space="preserve"> </w:t>
      </w:r>
      <w:hyperlink r:id="rId52">
        <w:r>
          <w:rPr>
            <w:rStyle w:val="Hyperlink"/>
          </w:rPr>
          <w:t xml:space="preserve">Foundations of algorithmic thermodynamics</w:t>
        </w:r>
      </w:hyperlink>
      <w:r>
        <w:t xml:space="preserve">.</w:t>
      </w:r>
    </w:p>
    <w:p>
      <w:pPr>
        <w:pStyle w:val="BodyText"/>
      </w:pPr>
      <w:r>
        <w:rPr>
          <w:bCs/>
          <w:b/>
        </w:rPr>
        <w:t xml:space="preserve">Descriptive agent foundations.</w:t>
      </w:r>
      <w:r>
        <w:t xml:space="preserve"> </w:t>
      </w:r>
      <w:r>
        <w:t xml:space="preserve">-</w:t>
      </w:r>
      <w:r>
        <w:t xml:space="preserve"> </w:t>
      </w:r>
      <w:hyperlink r:id="rId53">
        <w:r>
          <w:rPr>
            <w:rStyle w:val="Hyperlink"/>
          </w:rPr>
          <w:t xml:space="preserve">Selection theorems: a program for understanding agents</w:t>
        </w:r>
      </w:hyperlink>
      <w:r>
        <w:t xml:space="preserve">.</w:t>
      </w:r>
      <w:r>
        <w:t xml:space="preserve"> </w:t>
      </w:r>
      <w:r>
        <w:t xml:space="preserve">-</w:t>
      </w:r>
      <w:r>
        <w:t xml:space="preserve"> </w:t>
      </w:r>
      <w:hyperlink r:id="rId54">
        <w:r>
          <w:rPr>
            <w:rStyle w:val="Hyperlink"/>
          </w:rPr>
          <w:t xml:space="preserve">How we picture Bayesian agents</w:t>
        </w:r>
      </w:hyperlink>
      <w:r>
        <w:t xml:space="preserve">.</w:t>
      </w:r>
      <w:r>
        <w:t xml:space="preserve"> </w:t>
      </w:r>
      <w:r>
        <w:t xml:space="preserve">-</w:t>
      </w:r>
      <w:r>
        <w:t xml:space="preserve"> </w:t>
      </w:r>
      <w:hyperlink r:id="rId55">
        <w:r>
          <w:rPr>
            <w:rStyle w:val="Hyperlink"/>
          </w:rPr>
          <w:t xml:space="preserve">What selection theorems do we expect/want</w:t>
        </w:r>
      </w:hyperlink>
      <w:r>
        <w:t xml:space="preserve">.</w:t>
      </w:r>
    </w:p>
    <w:p>
      <w:pPr>
        <w:pStyle w:val="BodyText"/>
      </w:pPr>
      <w:r>
        <w:rPr>
          <w:bCs/>
          <w:b/>
        </w:rPr>
        <w:t xml:space="preserve">Going further.</w:t>
      </w:r>
      <w:r>
        <w:t xml:space="preserve"> </w:t>
      </w:r>
      <w:hyperlink r:id="rId56">
        <w:r>
          <w:rPr>
            <w:rStyle w:val="Hyperlink"/>
          </w:rPr>
          <w:t xml:space="preserve">Introduction to the infra-Bayesianism sequence</w:t>
        </w:r>
      </w:hyperlink>
      <w:r>
        <w:t xml:space="preserve"> </w:t>
      </w:r>
      <w:r>
        <w:t xml:space="preserve">(non-realizable environments);</w:t>
      </w:r>
      <w:r>
        <w:t xml:space="preserve"> </w:t>
      </w:r>
      <w:hyperlink r:id="rId57">
        <w:r>
          <w:rPr>
            <w:rStyle w:val="Hyperlink"/>
          </w:rPr>
          <w:t xml:space="preserve">The learning-theoretic agenda</w:t>
        </w:r>
      </w:hyperlink>
      <w:r>
        <w:t xml:space="preserve">;</w:t>
      </w:r>
      <w:r>
        <w:t xml:space="preserve"> </w:t>
      </w:r>
      <w:hyperlink r:id="rId58">
        <w:r>
          <w:rPr>
            <w:rStyle w:val="Hyperlink"/>
          </w:rPr>
          <w:t xml:space="preserve">Optimization at a distance</w:t>
        </w:r>
      </w:hyperlink>
      <w:r>
        <w:t xml:space="preserve">;</w:t>
      </w:r>
      <w:r>
        <w:t xml:space="preserve"> </w:t>
      </w:r>
      <w:hyperlink r:id="rId59">
        <w:r>
          <w:rPr>
            <w:rStyle w:val="Hyperlink"/>
          </w:rPr>
          <w:t xml:space="preserve">Hard problem of corrigibility</w:t>
        </w:r>
      </w:hyperlink>
      <w:r>
        <w:t xml:space="preserve">. Research frontier: 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bookmarkEnd w:id="60"/>
    <w:bookmarkEnd w:id="61"/>
    <w:bookmarkStart w:id="69"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w:t>
      </w:r>
    </w:p>
    <w:bookmarkStart w:id="62" w:name="time-schedule"/>
    <w:p>
      <w:pPr>
        <w:pStyle w:val="Heading2"/>
      </w:pPr>
      <w:r>
        <w:t xml:space="preserve">Time schedule</w:t>
      </w:r>
    </w:p>
    <w:p>
      <w:pPr>
        <w:numPr>
          <w:ilvl w:val="0"/>
          <w:numId w:val="1010"/>
        </w:numPr>
        <w:pStyle w:val="Compact"/>
      </w:pPr>
      <w:r>
        <w:t xml:space="preserve">10:00–11:00 Morning lecture (the unifying spine; preview each strand).</w:t>
      </w:r>
    </w:p>
    <w:p>
      <w:pPr>
        <w:numPr>
          <w:ilvl w:val="0"/>
          <w:numId w:val="1010"/>
        </w:numPr>
        <w:pStyle w:val="Compact"/>
      </w:pPr>
      <w:r>
        <w:t xml:space="preserve">11:00–12:30 Fundamental reading (90 min; the four shared readings).</w:t>
      </w:r>
    </w:p>
    <w:p>
      <w:pPr>
        <w:numPr>
          <w:ilvl w:val="0"/>
          <w:numId w:val="1010"/>
        </w:numPr>
        <w:pStyle w:val="Compact"/>
      </w:pPr>
      <w:r>
        <w:t xml:space="preserve">12:30–13:30 Lunch.</w:t>
      </w:r>
    </w:p>
    <w:p>
      <w:pPr>
        <w:numPr>
          <w:ilvl w:val="0"/>
          <w:numId w:val="1010"/>
        </w:numPr>
        <w:pStyle w:val="Compact"/>
      </w:pPr>
      <w:r>
        <w:t xml:space="preserve">13:30–15:30 Cross-pollination discussion (120 min; mixed-track small groups).</w:t>
      </w:r>
    </w:p>
    <w:p>
      <w:pPr>
        <w:numPr>
          <w:ilvl w:val="0"/>
          <w:numId w:val="1010"/>
        </w:numPr>
        <w:pStyle w:val="Compact"/>
      </w:pPr>
      <w:r>
        <w:t xml:space="preserve">15:30–15:45 Break.</w:t>
      </w:r>
    </w:p>
    <w:p>
      <w:pPr>
        <w:numPr>
          <w:ilvl w:val="0"/>
          <w:numId w:val="1010"/>
        </w:numPr>
        <w:pStyle w:val="Compact"/>
      </w:pPr>
      <w:r>
        <w:t xml:space="preserve">15:45–17:45 Exercise session (120 min).</w:t>
      </w:r>
    </w:p>
    <w:p>
      <w:pPr>
        <w:numPr>
          <w:ilvl w:val="0"/>
          <w:numId w:val="1010"/>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w:t>
      </w:r>
    </w:p>
    <w:bookmarkEnd w:id="62"/>
    <w:bookmarkStart w:id="63" w:name="required-materials"/>
    <w:p>
      <w:pPr>
        <w:pStyle w:val="Heading2"/>
      </w:pPr>
      <w:r>
        <w:t xml:space="preserve">Required materials</w:t>
      </w:r>
    </w:p>
    <w:p>
      <w:pPr>
        <w:numPr>
          <w:ilvl w:val="0"/>
          <w:numId w:val="1011"/>
        </w:numPr>
        <w:pStyle w:val="Compact"/>
      </w:pPr>
      <w:r>
        <w:t xml:space="preserve">Projector and laptop for the slides.</w:t>
      </w:r>
    </w:p>
    <w:p>
      <w:pPr>
        <w:numPr>
          <w:ilvl w:val="0"/>
          <w:numId w:val="1011"/>
        </w:numPr>
        <w:pStyle w:val="Compact"/>
      </w:pPr>
      <w:r>
        <w:t xml:space="preserve">Printed (or linked) fundamental readings and the six pre-reading track sheets.</w:t>
      </w:r>
    </w:p>
    <w:p>
      <w:pPr>
        <w:numPr>
          <w:ilvl w:val="0"/>
          <w:numId w:val="1011"/>
        </w:numPr>
        <w:pStyle w:val="Compact"/>
      </w:pPr>
      <w:r>
        <w:t xml:space="preserve">Printed exercise sheets and the solutions set (for the teacher, and to hand out after).</w:t>
      </w:r>
    </w:p>
    <w:p>
      <w:pPr>
        <w:numPr>
          <w:ilvl w:val="0"/>
          <w:numId w:val="1011"/>
        </w:numPr>
        <w:pStyle w:val="Compact"/>
      </w:pPr>
      <w:r>
        <w:t xml:space="preserve">Whiteboard for the discussion block.</w:t>
      </w:r>
    </w:p>
    <w:p>
      <w:pPr>
        <w:numPr>
          <w:ilvl w:val="0"/>
          <w:numId w:val="1011"/>
        </w:numPr>
        <w:pStyle w:val="Compact"/>
      </w:pPr>
      <w:r>
        <w:t xml:space="preserve">One or more instructors/TAs to float between the cross-pollination discussion groups and seed stuck groups.</w:t>
      </w:r>
    </w:p>
    <w:p>
      <w:pPr>
        <w:numPr>
          <w:ilvl w:val="0"/>
          <w:numId w:val="1011"/>
        </w:numPr>
        <w:pStyle w:val="Compact"/>
      </w:pPr>
      <w:r>
        <w:t xml:space="preserve">The four prerequisite refresher notes, shared with students a few days ahead.</w:t>
      </w:r>
    </w:p>
    <w:bookmarkEnd w:id="63"/>
    <w:bookmarkStart w:id="64" w:name="morning-lecture-1"/>
    <w:p>
      <w:pPr>
        <w:pStyle w:val="Heading2"/>
      </w:pPr>
      <w:r>
        <w:t xml:space="preserve">Morning lecture</w:t>
      </w:r>
    </w:p>
    <w:p>
      <w:pPr>
        <w:pStyle w:val="FirstParagraph"/>
      </w:pPr>
      <w:r>
        <w:t xml:space="preserve">Walk the slides.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six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bookmarkEnd w:id="64"/>
    <w:bookmarkStart w:id="65"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thread (why this approach, reflective stability, general-purpose search).</w:t>
      </w:r>
    </w:p>
    <w:bookmarkEnd w:id="65"/>
    <w:bookmarkStart w:id="66"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 Pose the prompts above; let each group pick the pairings that span the tracks present.</w:t>
      </w:r>
      <w:r>
        <w:t xml:space="preserve"> </w:t>
      </w:r>
      <w:r>
        <w:rPr>
          <w:bCs/>
          <w:b/>
        </w:rPr>
        <w:t xml:space="preserve">TN:</w:t>
      </w:r>
      <w:r>
        <w:t xml:space="preserve"> </w:t>
      </w:r>
      <w:r>
        <w:t xml:space="preserve">the failure mode is a student who read a topic answering for everyone. Run it as: each member first explains their own track’s core idea to the group in two minutes, then the group works a cross-pollination prompt together.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bookmarkEnd w:id="66"/>
    <w:bookmarkStart w:id="67" w:name="exercise-session-1"/>
    <w:p>
      <w:pPr>
        <w:pStyle w:val="Heading2"/>
      </w:pPr>
      <w:r>
        <w:t xml:space="preserve">Exercise session</w:t>
      </w:r>
    </w:p>
    <w:p>
      <w:pPr>
        <w:pStyle w:val="FirstParagraph"/>
      </w:pPr>
      <w:r>
        <w:t xml:space="preserve">Hand out the exercise sheet.</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solutions at the end.</w:t>
      </w:r>
      <w:r>
        <w:t xml:space="preserve"> </w:t>
      </w:r>
      <w:r>
        <w:rPr>
          <w:bCs/>
          <w:b/>
        </w:rPr>
        <w:t xml:space="preserve">TN, Exercise 2(e):</w:t>
      </w:r>
      <w:r>
        <w:t xml:space="preserve"> </w:t>
      </w:r>
      <w:r>
        <w:t xml:space="preserve">the FairBot part is the payoff (Löbian cooperation), and it directly seeds the Decision Theory day’s tournament; flag the connection.</w:t>
      </w:r>
    </w:p>
    <w:bookmarkEnd w:id="67"/>
    <w:bookmarkStart w:id="68" w:name="daily-checkpoint-1"/>
    <w:p>
      <w:pPr>
        <w:pStyle w:val="Heading2"/>
      </w:pPr>
      <w:r>
        <w:t xml:space="preserve">Daily checkpoint</w:t>
      </w:r>
    </w:p>
    <w:p>
      <w:pPr>
        <w:pStyle w:val="FirstParagraph"/>
      </w:pPr>
      <w:r>
        <w:t xml:space="preserve">Run the six-question checkpoint (above) as a quick individual quiz, then read out the answers. It doubles as an attendance check and tees up the feedback form.</w:t>
      </w:r>
    </w:p>
    <w:bookmarkEnd w:id="68"/>
    <w:bookmarkEnd w:id="69"/>
    <w:bookmarkStart w:id="70" w:name="notes-for-future-iterations"/>
    <w:p>
      <w:pPr>
        <w:pStyle w:val="Heading1"/>
      </w:pPr>
      <w:r>
        <w:t xml:space="preserve">Notes for future iterations</w:t>
      </w:r>
    </w:p>
    <w:p>
      <w:pPr>
        <w:numPr>
          <w:ilvl w:val="0"/>
          <w:numId w:val="1012"/>
        </w:numPr>
        <w:pStyle w:val="Compact"/>
      </w:pPr>
      <w:r>
        <w:t xml:space="preserve">The day is wide by design (six strands in one day). If the room skews less mathematical, consider letting students sign up for</w:t>
      </w:r>
      <w:r>
        <w:t xml:space="preserve"> </w:t>
      </w:r>
      <w:r>
        <w:rPr>
          <w:iCs/>
          <w:i/>
        </w:rPr>
        <w:t xml:space="preserve">two</w:t>
      </w:r>
      <w:r>
        <w:t xml:space="preserve"> </w:t>
      </w:r>
      <w:r>
        <w:t xml:space="preserve">tracks at lighter depth rather than one in depth, and lean the discussion harder on the conceptual prompts (1, 2, 5) over the technical ones.</w:t>
      </w:r>
    </w:p>
    <w:p>
      <w:pPr>
        <w:numPr>
          <w:ilvl w:val="0"/>
          <w:numId w:val="1012"/>
        </w:numPr>
        <w:pStyle w:val="Compact"/>
      </w:pPr>
      <w:r>
        <w:t xml:space="preserve">The decision-theory strand is only previewed here and developed fully the next day; keep the preview short to avoid duplicating that lecture.</w:t>
      </w:r>
    </w:p>
    <w:p>
      <w:pPr>
        <w:numPr>
          <w:ilvl w:val="0"/>
          <w:numId w:val="1012"/>
        </w:numPr>
        <w:pStyle w:val="Compact"/>
      </w:pPr>
      <w:r>
        <w:t xml:space="preserve">The exercises span very different prerequisites (logic vs information theory). Grouping students by track during the exercise block worked better than leaving it open.</w:t>
      </w:r>
    </w:p>
    <w:p>
      <w:pPr>
        <w:numPr>
          <w:ilvl w:val="0"/>
          <w:numId w:val="1012"/>
        </w:numPr>
        <w:pStyle w:val="Compact"/>
      </w:pPr>
      <w:r>
        <w:t xml:space="preserve">Consider adding one cross-pollination prompt that explicitly involves the decision-theory track, since the website’s prompt set currently does not.</w:t>
      </w:r>
    </w:p>
    <w:p>
      <w:pPr>
        <w:numPr>
          <w:ilvl w:val="0"/>
          <w:numId w:val="1012"/>
        </w:numPr>
        <w:pStyle w:val="Compact"/>
      </w:pPr>
      <w:r>
        <w:t xml:space="preserve">After teaching: record which prerequisite refreshers students actually needed, and tighten the pre-reading track sizes so every group in the discussion has at least one student per represented track.</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arxiv.org/abs/1710.05060" TargetMode="External" /><Relationship Type="http://schemas.openxmlformats.org/officeDocument/2006/relationships/hyperlink" Id="rId52" Target="https://arxiv.org/abs/2308.06927" TargetMode="External" /><Relationship Type="http://schemas.openxmlformats.org/officeDocument/2006/relationships/hyperlink" Id="rId46" Target="https://arxiv.org/pdf/1609.03543"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29" Target="https://drive.google.com/file/d/1uJ3a_mVCDdCI1-kW5Ha2PyZ5otTtu-dO/view?usp=sharing" TargetMode="External" /><Relationship Type="http://schemas.openxmlformats.org/officeDocument/2006/relationships/hyperlink" Id="rId36" Target="https://form.jotform.com/261724721333048" TargetMode="External" /><Relationship Type="http://schemas.openxmlformats.org/officeDocument/2006/relationships/hyperlink" Id="rId42" Target="https://intelligence.org/files/lob-notes-IAFF.pdf" TargetMode="External" /><Relationship Type="http://schemas.openxmlformats.org/officeDocument/2006/relationships/hyperlink" Id="rId51" Target="https://www.lesswrong.com/posts/6aqPCfp3wCk6CKW5J/when-bits-of-optimization-imply-bits-of-modeling-the" TargetMode="External" /><Relationship Type="http://schemas.openxmlformats.org/officeDocument/2006/relationships/hyperlink" Id="rId32" Target="https://www.lesswrong.com/posts/6mysMAqvo9giHC4iX/what-s-general-purpose-search-and-why-might-we-expect-to-see" TargetMode="External" /><Relationship Type="http://schemas.openxmlformats.org/officeDocument/2006/relationships/hyperlink" Id="rId40" Target="https://www.lesswrong.com/posts/73pTioGZKNcfQmvGF/the-measuring-stick-of-utility-problem" TargetMode="External" /><Relationship Type="http://schemas.openxmlformats.org/officeDocument/2006/relationships/hyperlink" Id="rId50"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53" Target="https://www.lesswrong.com/posts/G2Lne2Fi7Qra5Lbuf/selection-theorems-a-program-for-understanding-agents" TargetMode="External" /><Relationship Type="http://schemas.openxmlformats.org/officeDocument/2006/relationships/hyperlink" Id="rId44" Target="https://www.lesswrong.com/posts/QGrX3qK3qxQYK9D4C/walkthrough-of-the-tiling-agents-for-self-modifying-ai-paper" TargetMode="External" /><Relationship Type="http://schemas.openxmlformats.org/officeDocument/2006/relationships/hyperlink" Id="rId55" Target="https://www.lesswrong.com/posts/RuDD3aQWLDSb4eTXP/what-selection-theorems-do-we-expect-want" TargetMode="External" /><Relationship Type="http://schemas.openxmlformats.org/officeDocument/2006/relationships/hyperlink" Id="rId54" Target="https://www.lesswrong.com/posts/TiBsZ9beNqDHEvXt4/how-we-picture-bayesian-agents" TargetMode="External" /><Relationship Type="http://schemas.openxmlformats.org/officeDocument/2006/relationships/hyperlink" Id="rId57" Target="https://www.lesswrong.com/posts/ZwshvqiqCvXPsZEct/the-learning-theoretic-agenda-status-2023" TargetMode="External" /><Relationship Type="http://schemas.openxmlformats.org/officeDocument/2006/relationships/hyperlink" Id="rId58"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41" Target="https://www.lesswrong.com/posts/sZuw6SGfmZHvcAAEP/complete-class-consequentialist-foundations" TargetMode="External" /><Relationship Type="http://schemas.openxmlformats.org/officeDocument/2006/relationships/hyperlink" Id="rId49" Target="https://www.lesswrong.com/posts/uKWXktrR7KpbgZAs4/generalized-heat-engine" TargetMode="External" /><Relationship Type="http://schemas.openxmlformats.org/officeDocument/2006/relationships/hyperlink" Id="rId45" Target="https://www.lesswrong.com/posts/y5GftLezdozEHdXkL/an-intuitive-guide-to-garrabrant-induction" TargetMode="External" /><Relationship Type="http://schemas.openxmlformats.org/officeDocument/2006/relationships/hyperlink" Id="rId56" Target="https://www.lesswrong.com/posts/zB4f7QqKhBHa5b37a/introduction-to-the-infra-bayesianism-sequence" TargetMode="External" /><Relationship Type="http://schemas.openxmlformats.org/officeDocument/2006/relationships/hyperlink" Id="rId48" Target="https://www.lesswrong.com/posts/znfkdCoHMANwqc2WE/the-ground-of-optimization-1" TargetMode="External" /><Relationship Type="http://schemas.openxmlformats.org/officeDocument/2006/relationships/hyperlink" Id="rId39" Target="https://www.lesswrong.com/s/SgomvxZ3cJWy2SBCu/p/RQpNHSiWaXTvDxt6R" TargetMode="External" /><Relationship Type="http://schemas.openxmlformats.org/officeDocument/2006/relationships/hyperlink" Id="rId59" Target="https://www.lesswrong.com/w/hard-problem-of-corrigibility" TargetMode="External" /><Relationship Type="http://schemas.openxmlformats.org/officeDocument/2006/relationships/hyperlink" Id="rId31" Target="https://www.lesswrong.com/w/reflectively-consistent-degree-of-freedom" TargetMode="External" /><Relationship Type="http://schemas.openxmlformats.org/officeDocument/2006/relationships/hyperlink" Id="rId43" Target="https://www.lesswrong.com/w/vingean-reflection" TargetMode="External" /></Relationships>
</file>

<file path=word/_rels/footnotes.xml.rels><?xml version="1.0" encoding="UTF-8"?><Relationships xmlns="http://schemas.openxmlformats.org/package/2006/relationships"><Relationship Type="http://schemas.openxmlformats.org/officeDocument/2006/relationships/hyperlink" Id="rId47" Target="https://arxiv.org/abs/1710.05060" TargetMode="External" /><Relationship Type="http://schemas.openxmlformats.org/officeDocument/2006/relationships/hyperlink" Id="rId52" Target="https://arxiv.org/abs/2308.06927" TargetMode="External" /><Relationship Type="http://schemas.openxmlformats.org/officeDocument/2006/relationships/hyperlink" Id="rId46" Target="https://arxiv.org/pdf/1609.03543"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29" Target="https://drive.google.com/file/d/1uJ3a_mVCDdCI1-kW5Ha2PyZ5otTtu-dO/view?usp=sharing" TargetMode="External" /><Relationship Type="http://schemas.openxmlformats.org/officeDocument/2006/relationships/hyperlink" Id="rId36" Target="https://form.jotform.com/261724721333048" TargetMode="External" /><Relationship Type="http://schemas.openxmlformats.org/officeDocument/2006/relationships/hyperlink" Id="rId42" Target="https://intelligence.org/files/lob-notes-IAFF.pdf" TargetMode="External" /><Relationship Type="http://schemas.openxmlformats.org/officeDocument/2006/relationships/hyperlink" Id="rId51" Target="https://www.lesswrong.com/posts/6aqPCfp3wCk6CKW5J/when-bits-of-optimization-imply-bits-of-modeling-the" TargetMode="External" /><Relationship Type="http://schemas.openxmlformats.org/officeDocument/2006/relationships/hyperlink" Id="rId32" Target="https://www.lesswrong.com/posts/6mysMAqvo9giHC4iX/what-s-general-purpose-search-and-why-might-we-expect-to-see" TargetMode="External" /><Relationship Type="http://schemas.openxmlformats.org/officeDocument/2006/relationships/hyperlink" Id="rId40" Target="https://www.lesswrong.com/posts/73pTioGZKNcfQmvGF/the-measuring-stick-of-utility-problem" TargetMode="External" /><Relationship Type="http://schemas.openxmlformats.org/officeDocument/2006/relationships/hyperlink" Id="rId50"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53" Target="https://www.lesswrong.com/posts/G2Lne2Fi7Qra5Lbuf/selection-theorems-a-program-for-understanding-agents" TargetMode="External" /><Relationship Type="http://schemas.openxmlformats.org/officeDocument/2006/relationships/hyperlink" Id="rId44" Target="https://www.lesswrong.com/posts/QGrX3qK3qxQYK9D4C/walkthrough-of-the-tiling-agents-for-self-modifying-ai-paper" TargetMode="External" /><Relationship Type="http://schemas.openxmlformats.org/officeDocument/2006/relationships/hyperlink" Id="rId55" Target="https://www.lesswrong.com/posts/RuDD3aQWLDSb4eTXP/what-selection-theorems-do-we-expect-want" TargetMode="External" /><Relationship Type="http://schemas.openxmlformats.org/officeDocument/2006/relationships/hyperlink" Id="rId54" Target="https://www.lesswrong.com/posts/TiBsZ9beNqDHEvXt4/how-we-picture-bayesian-agents" TargetMode="External" /><Relationship Type="http://schemas.openxmlformats.org/officeDocument/2006/relationships/hyperlink" Id="rId57" Target="https://www.lesswrong.com/posts/ZwshvqiqCvXPsZEct/the-learning-theoretic-agenda-status-2023" TargetMode="External" /><Relationship Type="http://schemas.openxmlformats.org/officeDocument/2006/relationships/hyperlink" Id="rId58"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41" Target="https://www.lesswrong.com/posts/sZuw6SGfmZHvcAAEP/complete-class-consequentialist-foundations" TargetMode="External" /><Relationship Type="http://schemas.openxmlformats.org/officeDocument/2006/relationships/hyperlink" Id="rId49" Target="https://www.lesswrong.com/posts/uKWXktrR7KpbgZAs4/generalized-heat-engine" TargetMode="External" /><Relationship Type="http://schemas.openxmlformats.org/officeDocument/2006/relationships/hyperlink" Id="rId45" Target="https://www.lesswrong.com/posts/y5GftLezdozEHdXkL/an-intuitive-guide-to-garrabrant-induction" TargetMode="External" /><Relationship Type="http://schemas.openxmlformats.org/officeDocument/2006/relationships/hyperlink" Id="rId56" Target="https://www.lesswrong.com/posts/zB4f7QqKhBHa5b37a/introduction-to-the-infra-bayesianism-sequence" TargetMode="External" /><Relationship Type="http://schemas.openxmlformats.org/officeDocument/2006/relationships/hyperlink" Id="rId48" Target="https://www.lesswrong.com/posts/znfkdCoHMANwqc2WE/the-ground-of-optimization-1" TargetMode="External" /><Relationship Type="http://schemas.openxmlformats.org/officeDocument/2006/relationships/hyperlink" Id="rId39" Target="https://www.lesswrong.com/s/SgomvxZ3cJWy2SBCu/p/RQpNHSiWaXTvDxt6R" TargetMode="External" /><Relationship Type="http://schemas.openxmlformats.org/officeDocument/2006/relationships/hyperlink" Id="rId59" Target="https://www.lesswrong.com/w/hard-problem-of-corrigibility" TargetMode="External" /><Relationship Type="http://schemas.openxmlformats.org/officeDocument/2006/relationships/hyperlink" Id="rId31" Target="https://www.lesswrong.com/w/reflectively-consistent-degree-of-freedom" TargetMode="External" /><Relationship Type="http://schemas.openxmlformats.org/officeDocument/2006/relationships/hyperlink" Id="rId43" Target="https://www.lesswrong.com/w/vingean-ref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2026-06-23T14:26:38Z</dcterms:created>
  <dcterms:modified xsi:type="dcterms:W3CDTF">2026-06-23T14:26:38Z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