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and Satya Benson (Williams College) wrote and taught the module. Satya Benson created and ran the Open-Source Prisoner’s Dilemma Tournament. The lecture slides, reading list, and tournament handout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43" w:name="content"/>
    <w:p>
      <w:pPr>
        <w:pStyle w:val="Heading1"/>
      </w:pPr>
      <w:r>
        <w:t xml:space="preserve">Content</w:t>
      </w:r>
    </w:p>
    <w:p>
      <w:pPr>
        <w:pStyle w:val="FirstParagraph"/>
      </w:pPr>
      <w:r>
        <w:t xml:space="preserve">Slides: Deck I (Decision Theory: CDT to UDT) and Deck II (Open-Source Game Theory, Commitment Races, and Safe Pareto Improvements), linked from the</w:t>
      </w:r>
      <w:r>
        <w:t xml:space="preserve"> </w:t>
      </w:r>
      <w:hyperlink r:id="rId23">
        <w:r>
          <w:rPr>
            <w:rStyle w:val="Hyperlink"/>
          </w:rPr>
          <w:t xml:space="preserve">Decision Theory session page</w:t>
        </w:r>
      </w:hyperlink>
      <w:r>
        <w:t xml:space="preserve">. Tournament handout:</w:t>
      </w:r>
      <w:r>
        <w:t xml:space="preserve"> </w:t>
      </w:r>
      <w:hyperlink r:id="rId24">
        <w:r>
          <w:rPr>
            <w:rStyle w:val="Hyperlink"/>
          </w:rPr>
          <w:t xml:space="preserve">Open-Source Prisoner’s Dilemma Tournament</w:t>
        </w:r>
      </w:hyperlink>
      <w:r>
        <w:t xml:space="preserve">.</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w:t>
      </w:r>
      <w:r>
        <w:t xml:space="preserve"> </w:t>
      </w:r>
      <w:r>
        <w:t xml:space="preserve">“</w:t>
      </w:r>
      <w:r>
        <w:t xml:space="preserve">The four decision theories</w:t>
      </w:r>
      <w:r>
        <w:t xml:space="preserve">”</w:t>
      </w:r>
      <w:r>
        <w:t xml:space="preserve"> </w:t>
      </w:r>
      <w:r>
        <w:t xml:space="preserve">and</w:t>
      </w:r>
      <w:r>
        <w:t xml:space="preserve"> </w:t>
      </w:r>
      <w:r>
        <w:t xml:space="preserve">“</w:t>
      </w:r>
      <w:r>
        <w:t xml:space="preserve">The multi-agent layer</w:t>
      </w:r>
      <w:r>
        <w:t xml:space="preserve">”</w:t>
      </w:r>
      <w:r>
        <w:t xml:space="preserve"> </w:t>
      </w:r>
      <w:r>
        <w:t xml:space="preserve">below.</w:t>
      </w:r>
    </w:p>
    <w:p>
      <w:pPr>
        <w:numPr>
          <w:ilvl w:val="0"/>
          <w:numId w:val="1002"/>
        </w:numPr>
        <w:pStyle w:val="Compact"/>
      </w:pPr>
      <w:r>
        <w:t xml:space="preserve">Read the</w:t>
      </w:r>
      <w:r>
        <w:t xml:space="preserve"> </w:t>
      </w:r>
      <w:hyperlink r:id="rId25">
        <w:r>
          <w:rPr>
            <w:rStyle w:val="Hyperlink"/>
          </w:rPr>
          <w:t xml:space="preserve">FDT paper</w:t>
        </w:r>
      </w:hyperlink>
      <w:r>
        <w:t xml:space="preserve"> </w:t>
      </w:r>
      <w:r>
        <w:t xml:space="preserve">(at least chapters 1-3) for the FDT/UDT picture, and skim</w:t>
      </w:r>
      <w:r>
        <w:t xml:space="preserve"> </w:t>
      </w:r>
      <w:hyperlink r:id="rId26">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27"/>
    <w:bookmarkStart w:id="38" w:name="main-content"/>
    <w:p>
      <w:pPr>
        <w:pStyle w:val="Heading2"/>
      </w:pPr>
      <w:r>
        <w:t xml:space="preserve">Main content</w:t>
      </w:r>
    </w:p>
    <w:p>
      <w:pPr>
        <w:pStyle w:val="FirstParagraph"/>
      </w:pPr>
      <w:r>
        <w:t xml:space="preserve">The day has four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and the</w:t>
      </w:r>
      <w:r>
        <w:t xml:space="preserve"> </w:t>
      </w:r>
      <w:r>
        <w:rPr>
          <w:bCs/>
          <w:b/>
        </w:rPr>
        <w:t xml:space="preserve">tournament</w:t>
      </w:r>
      <w:r>
        <w:t xml:space="preserve">, closing with a</w:t>
      </w:r>
      <w:r>
        <w:t xml:space="preserve"> </w:t>
      </w:r>
      <w:r>
        <w:rPr>
          <w:bCs/>
          <w:b/>
        </w:rPr>
        <w:t xml:space="preserve">daily checkpoint</w:t>
      </w:r>
      <w:r>
        <w:t xml:space="preserve">.</w:t>
      </w:r>
    </w:p>
    <w:bookmarkStart w:id="28"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28"/>
    <w:bookmarkStart w:id="34"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(arranged roughly chronologically; the FDT paper is the primary reference):</w:t>
      </w:r>
    </w:p>
    <w:p>
      <w:pPr>
        <w:numPr>
          <w:ilvl w:val="0"/>
          <w:numId w:val="1005"/>
        </w:numPr>
        <w:pStyle w:val="Compact"/>
      </w:pPr>
      <w:hyperlink r:id="rId25">
        <w:r>
          <w:rPr>
            <w:rStyle w:val="Hyperlink"/>
          </w:rPr>
          <w:t xml:space="preserve">Functional decision theory: a new theory of instrumental rationality</w:t>
        </w:r>
      </w:hyperlink>
      <w:r>
        <w:t xml:space="preserve"> </w:t>
      </w:r>
      <w:r>
        <w:t xml:space="preserve">(chapters 1-5).</w:t>
      </w:r>
    </w:p>
    <w:p>
      <w:pPr>
        <w:numPr>
          <w:ilvl w:val="0"/>
          <w:numId w:val="1005"/>
        </w:numPr>
        <w:pStyle w:val="Compact"/>
      </w:pPr>
      <w:hyperlink r:id="rId26">
        <w:r>
          <w:rPr>
            <w:rStyle w:val="Hyperlink"/>
          </w:rPr>
          <w:t xml:space="preserve">Towards a new decision theory</w:t>
        </w:r>
      </w:hyperlink>
      <w:r>
        <w:t xml:space="preserve">.</w:t>
      </w:r>
    </w:p>
    <w:p>
      <w:pPr>
        <w:numPr>
          <w:ilvl w:val="0"/>
          <w:numId w:val="1005"/>
        </w:numPr>
        <w:pStyle w:val="Compact"/>
      </w:pPr>
      <w:hyperlink r:id="rId29">
        <w:r>
          <w:rPr>
            <w:rStyle w:val="Hyperlink"/>
          </w:rPr>
          <w:t xml:space="preserve">Updateless decision theory</w:t>
        </w:r>
      </w:hyperlink>
      <w:r>
        <w:t xml:space="preserve">.</w:t>
      </w:r>
    </w:p>
    <w:p>
      <w:pPr>
        <w:numPr>
          <w:ilvl w:val="0"/>
          <w:numId w:val="1005"/>
        </w:numPr>
        <w:pStyle w:val="Compact"/>
      </w:pPr>
      <w:hyperlink r:id="rId30">
        <w:r>
          <w:rPr>
            <w:rStyle w:val="Hyperlink"/>
          </w:rPr>
          <w:t xml:space="preserve">Conceptual problems with UDT and policy selection</w:t>
        </w:r>
      </w:hyperlink>
      <w:r>
        <w:t xml:space="preserve">.</w:t>
      </w:r>
    </w:p>
    <w:p>
      <w:pPr>
        <w:numPr>
          <w:ilvl w:val="0"/>
          <w:numId w:val="1005"/>
        </w:numPr>
        <w:pStyle w:val="Compact"/>
      </w:pPr>
      <w:hyperlink r:id="rId31">
        <w:r>
          <w:rPr>
            <w:rStyle w:val="Hyperlink"/>
          </w:rPr>
          <w:t xml:space="preserve">Pitfalls of building UDT agents</w:t>
        </w:r>
      </w:hyperlink>
      <w:r>
        <w:t xml:space="preserve">.</w:t>
      </w:r>
    </w:p>
    <w:p>
      <w:pPr>
        <w:pStyle w:val="FirstParagraph"/>
      </w:pPr>
      <w:r>
        <w:t xml:space="preserve">Discussion prompt (transparency and cooperation): consider two agents A1 and A2 whose code, preferences, and decision algorithms become perfectly transparent to each other at time T (state your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give that argument. (This prompt is the bridge to the afternoon: it is exactly the open-source-game-theory setting.) Supporting afternoon readings:</w:t>
      </w:r>
      <w:r>
        <w:t xml:space="preserve"> </w:t>
      </w:r>
      <w:hyperlink r:id="rId32">
        <w:r>
          <w:rPr>
            <w:rStyle w:val="Hyperlink"/>
          </w:rPr>
          <w:t xml:space="preserve">When would AGIs engage in conflict?</w:t>
        </w:r>
      </w:hyperlink>
      <w:r>
        <w:t xml:space="preserve"> </w:t>
      </w:r>
      <w:r>
        <w:t xml:space="preserve">and</w:t>
      </w:r>
      <w:r>
        <w:t xml:space="preserve"> </w:t>
      </w:r>
      <w:hyperlink r:id="rId33">
        <w:r>
          <w:rPr>
            <w:rStyle w:val="Hyperlink"/>
          </w:rPr>
          <w:t xml:space="preserve">Individually incentivized safe Pareto improvements in open-source bargaining</w:t>
        </w:r>
      </w:hyperlink>
      <w:r>
        <w:t xml:space="preserve">.</w:t>
      </w:r>
    </w:p>
    <w:bookmarkEnd w:id="34"/>
    <w:bookmarkStart w:id="35"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p>
    <w:bookmarkEnd w:id="35"/>
    <w:bookmarkStart w:id="36"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4">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cooperated.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League B matches add about 2% move-flip noise and a randomized hidden length, so brittle strategies are penalized.</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p>
    <w:bookmarkEnd w:id="36"/>
    <w:bookmarkStart w:id="37"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Answers at the end of this section.</w:t>
      </w:r>
    </w:p>
    <w:p>
      <w:pPr>
        <w:numPr>
          <w:ilvl w:val="0"/>
          <w:numId w:val="1007"/>
        </w:numPr>
        <w:pStyle w:val="Compact"/>
      </w:pPr>
      <w: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p>
    <w:p>
      <w:pPr>
        <w:numPr>
          <w:ilvl w:val="0"/>
          <w:numId w:val="1007"/>
        </w:numPr>
        <w:pStyle w:val="Compact"/>
      </w:pPr>
      <w:r>
        <w:t xml:space="preserve">The smoking lesion is a problem for: (a) CDT; (b) EDT, which mistakes evidence for control; (c) FDT; (d) nobody.</w:t>
      </w:r>
    </w:p>
    <w:p>
      <w:pPr>
        <w:numPr>
          <w:ilvl w:val="0"/>
          <w:numId w:val="1007"/>
        </w:numPr>
        <w:pStyle w:val="Compact"/>
      </w:pPr>
      <w:r>
        <w:t xml:space="preserve">In the twin prisoner’s dilemma, FDT cooperates because: (a) it is altruistic; (b) both copies share the same logical output (subjunctive dependence), so the choice controls both; (c) the game is iterated; (d) it fears punishment.</w:t>
      </w:r>
    </w:p>
    <w:p>
      <w:pPr>
        <w:numPr>
          <w:ilvl w:val="0"/>
          <w:numId w:val="1007"/>
        </w:numPr>
        <w:pStyle w:val="Compact"/>
      </w:pPr>
      <w:r>
        <w:t xml:space="preserve">Two FairBots cooperate by: (a) simulation to fixed depth; (b) Löb’s theorem applied to</w:t>
      </w:r>
      <w:r>
        <w:t xml:space="preserve"> </w:t>
      </w:r>
      <w:r>
        <w:t xml:space="preserve">“</w:t>
      </w:r>
      <w:r>
        <w:t xml:space="preserve">I cooperate if I can prove you cooperate with me</w:t>
      </w:r>
      <w:r>
        <w:t xml:space="preserve">”</w:t>
      </w:r>
      <w:r>
        <w:t xml:space="preserve">; (c) a binding contract; (d) random chance.</w:t>
      </w:r>
    </w:p>
    <w:p>
      <w:pPr>
        <w:numPr>
          <w:ilvl w:val="0"/>
          <w:numId w:val="1007"/>
        </w:numPr>
        <w:pStyle w:val="Compact"/>
      </w:pPr>
      <w:r>
        <w:t xml:space="preserve">A commitment race arises because: (a) communication is slow; (b) the first agent to commit can pick the frontier point best for itself, so each rushes to commit before learning; (c) commitments are illegal; (d) agents are irrational.</w:t>
      </w:r>
    </w:p>
    <w:p>
      <w:pPr>
        <w:numPr>
          <w:ilvl w:val="0"/>
          <w:numId w:val="1007"/>
        </w:numPr>
        <w:pStyle w:val="Compact"/>
      </w:pPr>
      <w:r>
        <w:t xml:space="preserve">A safe Pareto improvement guarantees: (a) the best possible outcome; (b) every player is at least as well off as the default, regardless of the opponent; (c) cooperation in every game; (d) a Nash equilibrium.</w:t>
      </w:r>
    </w:p>
    <w:p>
      <w:pPr>
        <w:pStyle w:val="FirstParagraph"/>
      </w:pPr>
      <w:r>
        <w:rPr>
          <w:iCs/>
          <w:i/>
        </w:rPr>
        <w:t xml:space="preserve">Answers: 1(b), 2(b), 3(b), 4(b), 5(b), 6(b).</w:t>
      </w:r>
    </w:p>
    <w:bookmarkEnd w:id="37"/>
    <w:bookmarkEnd w:id="38"/>
    <w:bookmarkStart w:id="42" w:name="learn-more"/>
    <w:p>
      <w:pPr>
        <w:pStyle w:val="Heading2"/>
      </w:pPr>
      <w:r>
        <w:t xml:space="preserve">Learn more</w:t>
      </w:r>
    </w:p>
    <w:p>
      <w:pPr>
        <w:pStyle w:val="FirstParagraph"/>
      </w:pPr>
      <w:r>
        <w:rPr>
          <w:bCs/>
          <w:b/>
        </w:rPr>
        <w:t xml:space="preserve">Single-agent decision theory.</w:t>
      </w:r>
      <w:r>
        <w:t xml:space="preserve"> </w:t>
      </w:r>
      <w:r>
        <w:t xml:space="preserve">The reading list above, plus the</w:t>
      </w:r>
      <w:r>
        <w:t xml:space="preserve"> </w:t>
      </w:r>
      <w:hyperlink r:id="rId25">
        <w:r>
          <w:rPr>
            <w:rStyle w:val="Hyperlink"/>
          </w:rPr>
          <w:t xml:space="preserve">FDT paper</w:t>
        </w:r>
      </w:hyperlink>
      <w:r>
        <w:t xml:space="preserve"> </w:t>
      </w:r>
      <w:r>
        <w:t xml:space="preserve">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p>
    <w:p>
      <w:pPr>
        <w:pStyle w:val="BodyText"/>
      </w:pPr>
      <w:r>
        <w:rPr>
          <w:bCs/>
          <w:b/>
        </w:rPr>
        <w:t xml:space="preserve">Multi-agent and open-source game theory.</w:t>
      </w:r>
      <w:r>
        <w:t xml:space="preserve"> </w:t>
      </w:r>
      <w:r>
        <w:t xml:space="preserve">The</w:t>
      </w:r>
      <w:r>
        <w:t xml:space="preserve"> </w:t>
      </w:r>
      <w:hyperlink r:id="rId39">
        <w:r>
          <w:rPr>
            <w:rStyle w:val="Hyperlink"/>
          </w:rPr>
          <w:t xml:space="preserve">annotated program-equilibrium bibliography</w:t>
        </w:r>
      </w:hyperlink>
      <w:r>
        <w:t xml:space="preserve"> </w:t>
      </w:r>
      <w:r>
        <w:t xml:space="preserve">(Oesterheld); the</w:t>
      </w:r>
      <w:r>
        <w:t xml:space="preserve"> </w:t>
      </w:r>
      <w:hyperlink r:id="rId40">
        <w:r>
          <w:rPr>
            <w:rStyle w:val="Hyperlink"/>
          </w:rPr>
          <w:t xml:space="preserve">epsilon-grounded FairBot paper</w:t>
        </w:r>
      </w:hyperlink>
      <w:r>
        <w:t xml:space="preserve">;</w:t>
      </w:r>
      <w:r>
        <w:t xml:space="preserve"> </w:t>
      </w:r>
      <w:hyperlink r:id="rId32">
        <w:r>
          <w:rPr>
            <w:rStyle w:val="Hyperlink"/>
          </w:rPr>
          <w:t xml:space="preserve">When would AGIs engage in conflict?</w:t>
        </w:r>
      </w:hyperlink>
      <w:r>
        <w:t xml:space="preserve">; the safe-Pareto-improvement papers (Oesterheld-Conitzer;</w:t>
      </w:r>
      <w:r>
        <w:t xml:space="preserve"> </w:t>
      </w:r>
      <w:hyperlink r:id="rId41">
        <w:r>
          <w:rPr>
            <w:rStyle w:val="Hyperlink"/>
          </w:rPr>
          <w:t xml:space="preserve">DiGiovanni-Clifton-Macé</w:t>
        </w:r>
      </w:hyperlink>
      <w:r>
        <w:t xml:space="preserve">). Andrew Critch’s work on cooperative and uncooperative institution design is a good, pedagogically simple source for further exercises.</w:t>
      </w:r>
    </w:p>
    <w:p>
      <w:pPr>
        <w:pStyle w:val="BodyText"/>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bookmarkEnd w:id="42"/>
    <w:bookmarkEnd w:id="43"/>
    <w:bookmarkStart w:id="51" w:name="teaching-guide"/>
    <w:p>
      <w:pPr>
        <w:pStyle w:val="Heading1"/>
      </w:pPr>
      <w:r>
        <w:t xml:space="preserve">Teaching guide</w:t>
      </w:r>
    </w:p>
    <w:p>
      <w:pPr>
        <w:pStyle w:val="FirstParagraph"/>
      </w:pPr>
      <w:r>
        <w:t xml:space="preserve">The day alternates lecture, reading-and-discussion, lecture, and a programming tournament. The tournament is the capstone, so introduce it early enough that students can think about bots through lunch.</w:t>
      </w:r>
    </w:p>
    <w:bookmarkStart w:id="44" w:name="time-schedule"/>
    <w:p>
      <w:pPr>
        <w:pStyle w:val="Heading2"/>
      </w:pPr>
      <w:r>
        <w:t xml:space="preserve">Time schedule</w:t>
      </w:r>
    </w:p>
    <w:p>
      <w:pPr>
        <w:numPr>
          <w:ilvl w:val="0"/>
          <w:numId w:val="1008"/>
        </w:numPr>
        <w:pStyle w:val="Compact"/>
      </w:pPr>
      <w:r>
        <w:t xml:space="preserve">10:00–11:00 Morning lecture (CDT/EDT to FDT to UDT).</w:t>
      </w:r>
    </w:p>
    <w:p>
      <w:pPr>
        <w:numPr>
          <w:ilvl w:val="0"/>
          <w:numId w:val="1008"/>
        </w:numPr>
        <w:pStyle w:val="Compact"/>
      </w:pPr>
      <w:r>
        <w:t xml:space="preserve">11:00–13:00 Reading and discussion (120 min; primary sources and the transparency prompt).</w:t>
      </w:r>
    </w:p>
    <w:p>
      <w:pPr>
        <w:numPr>
          <w:ilvl w:val="0"/>
          <w:numId w:val="1008"/>
        </w:numPr>
        <w:pStyle w:val="Compact"/>
      </w:pPr>
      <w:r>
        <w:t xml:space="preserve">13:00–14:00 Lunch (announce the tournament and the bot brief here so students can mull it over).</w:t>
      </w:r>
    </w:p>
    <w:p>
      <w:pPr>
        <w:numPr>
          <w:ilvl w:val="0"/>
          <w:numId w:val="1008"/>
        </w:numPr>
        <w:pStyle w:val="Compact"/>
      </w:pPr>
      <w:r>
        <w:t xml:space="preserve">14:00–15:00 Afternoon lecture (open-source game theory, commitment races, safe Pareto improvements).</w:t>
      </w:r>
    </w:p>
    <w:p>
      <w:pPr>
        <w:numPr>
          <w:ilvl w:val="0"/>
          <w:numId w:val="1008"/>
        </w:numPr>
        <w:pStyle w:val="Compact"/>
      </w:pPr>
      <w:r>
        <w:t xml:space="preserve">15:00–16:00 Open-source Prisoner’s Dilemma tournament (finalize bots, run, reveal leaderboard, debrief).</w:t>
      </w:r>
    </w:p>
    <w:p>
      <w:pPr>
        <w:numPr>
          <w:ilvl w:val="0"/>
          <w:numId w:val="1008"/>
        </w:numPr>
        <w:pStyle w:val="Compact"/>
      </w:pPr>
      <w:r>
        <w:t xml:space="preserve">16:00–16:15 Daily checkpoint and feedback form.</w:t>
      </w:r>
    </w:p>
    <w:p>
      <w:pPr>
        <w:pStyle w:val="FirstParagraph"/>
      </w:pPr>
      <w:r>
        <w:t xml:space="preserve">(Lecture plus discussion totals 3 hours in the morning; the afternoon is a 1-hour lecture and a 1-hour tournament. If the room writes bots quickly, spend the saved time on the tournament debrief, which is where the decision-theoretic lessons land.)</w:t>
      </w:r>
    </w:p>
    <w:bookmarkEnd w:id="44"/>
    <w:bookmarkStart w:id="45" w:name="required-materials"/>
    <w:p>
      <w:pPr>
        <w:pStyle w:val="Heading2"/>
      </w:pPr>
      <w:r>
        <w:t xml:space="preserve">Required materials</w:t>
      </w:r>
    </w:p>
    <w:p>
      <w:pPr>
        <w:numPr>
          <w:ilvl w:val="0"/>
          <w:numId w:val="1009"/>
        </w:numPr>
        <w:pStyle w:val="Compact"/>
      </w:pPr>
      <w:r>
        <w:t xml:space="preserve">Projector and laptop for the two slide decks.</w:t>
      </w:r>
    </w:p>
    <w:p>
      <w:pPr>
        <w:numPr>
          <w:ilvl w:val="0"/>
          <w:numId w:val="1009"/>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w:t>
      </w:r>
    </w:p>
    <w:p>
      <w:pPr>
        <w:numPr>
          <w:ilvl w:val="0"/>
          <w:numId w:val="1009"/>
        </w:numPr>
        <w:pStyle w:val="Compact"/>
      </w:pPr>
      <w:r>
        <w:t xml:space="preserve">A TA or instructor comfortable operating the engine (compiling submissions, running the round-robin, surfacing the leaderboard) during the tournament session.</w:t>
      </w:r>
    </w:p>
    <w:p>
      <w:pPr>
        <w:numPr>
          <w:ilvl w:val="0"/>
          <w:numId w:val="1009"/>
        </w:numPr>
        <w:pStyle w:val="Compact"/>
      </w:pPr>
      <w:r>
        <w:t xml:space="preserve">Laptops for students to draft bots, or paper (submissions can be plain English).</w:t>
      </w:r>
    </w:p>
    <w:p>
      <w:pPr>
        <w:numPr>
          <w:ilvl w:val="0"/>
          <w:numId w:val="1009"/>
        </w:numPr>
        <w:pStyle w:val="Compact"/>
      </w:pPr>
      <w:r>
        <w:t xml:space="preserve">The tournament handout, shared at the start of the day.</w:t>
      </w:r>
    </w:p>
    <w:p>
      <w:pPr>
        <w:numPr>
          <w:ilvl w:val="0"/>
          <w:numId w:val="1009"/>
        </w:numPr>
        <w:pStyle w:val="Compact"/>
      </w:pPr>
      <w:r>
        <w:t xml:space="preserve">Whiteboard for the discussion block.</w:t>
      </w:r>
    </w:p>
    <w:bookmarkEnd w:id="45"/>
    <w:bookmarkStart w:id="46" w:name="morning-lecture-1"/>
    <w:p>
      <w:pPr>
        <w:pStyle w:val="Heading2"/>
      </w:pPr>
      <w:r>
        <w:t xml:space="preserve">Morning lecture</w:t>
      </w:r>
    </w:p>
    <w:p>
      <w:pPr>
        <w:pStyle w:val="FirstParagraph"/>
      </w:pPr>
      <w:r>
        <w:t xml:space="preserve">Walk Deck I. Build the theories in problem-driven order: motivate each theory with the case that breaks the previous one (Newcomb forces past CDT’s two-boxing intuition, the smoking lesion forces past EDT, the twin PD forces FDT, counterfactual mugging forces updatelessness).</w:t>
      </w:r>
      <w:r>
        <w:t xml:space="preserve"> </w:t>
      </w:r>
      <w:r>
        <w:rPr>
          <w:bCs/>
          <w:b/>
        </w:rPr>
        <w:t xml:space="preserve">TN:</w:t>
      </w:r>
      <w:r>
        <w:t xml:space="preserve"> </w:t>
      </w:r>
      <w:r>
        <w:t xml:space="preserve">keep the chronological-semimeasure-vs-joint-prediction aside optional; it is elegant but costs time and is not needed for the tournament.</w:t>
      </w:r>
      <w:r>
        <w:t xml:space="preserve"> </w:t>
      </w:r>
      <w:r>
        <w:rPr>
          <w:bCs/>
          <w:b/>
        </w:rPr>
        <w:t xml:space="preserve">TN:</w:t>
      </w:r>
      <w:r>
        <w:t xml:space="preserve"> </w:t>
      </w:r>
      <w:r>
        <w:t xml:space="preserve">the 5-and-10 slide is the one to slow down on, because it is the bridge to</w:t>
      </w:r>
      <w:r>
        <w:t xml:space="preserve"> </w:t>
      </w:r>
      <w:r>
        <w:t xml:space="preserve">“</w:t>
      </w:r>
      <w:r>
        <w:t xml:space="preserve">decision theory is genuinely unsolved</w:t>
      </w:r>
      <w:r>
        <w:t xml:space="preserve">”</w:t>
      </w:r>
      <w:r>
        <w:t xml:space="preserve"> </w:t>
      </w:r>
      <w:r>
        <w:t xml:space="preserve">and motivates the fair-problems criterion.</w:t>
      </w:r>
    </w:p>
    <w:bookmarkEnd w:id="46"/>
    <w:bookmarkStart w:id="47" w:name="reading-and-discussion-1"/>
    <w:p>
      <w:pPr>
        <w:pStyle w:val="Heading2"/>
      </w:pPr>
      <w:r>
        <w:t xml:space="preserve">Reading and discussion</w:t>
      </w:r>
    </w:p>
    <w:p>
      <w:pPr>
        <w:pStyle w:val="FirstParagraph"/>
      </w:pPr>
      <w:r>
        <w:t xml:space="preserve">Run the discussion in small groups on the transparency prompt after the readings.</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47"/>
    <w:bookmarkStart w:id="48" w:name="afternoon-lecture-1"/>
    <w:p>
      <w:pPr>
        <w:pStyle w:val="Heading2"/>
      </w:pPr>
      <w:r>
        <w:t xml:space="preserve">Afternoon lecture</w:t>
      </w:r>
    </w:p>
    <w:p>
      <w:pPr>
        <w:pStyle w:val="FirstParagraph"/>
      </w:pPr>
      <w:r>
        <w:t xml:space="preserve">Walk Deck II.</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bookmarkEnd w:id="48"/>
    <w:bookmarkStart w:id="49" w:name="the-tournament-1"/>
    <w:p>
      <w:pPr>
        <w:pStyle w:val="Heading2"/>
      </w:pPr>
      <w:r>
        <w:t xml:space="preserve">The tournament</w:t>
      </w:r>
    </w:p>
    <w:p>
      <w:pPr>
        <w:pStyle w:val="FirstParagraph"/>
      </w:pPr>
      <w:r>
        <w:t xml:space="preserve">Announce the format and payoffs before lunch so students arrive with bot ideas; collect submissions (Python, pseudocode, or English plus a one-paragraph rationale) at the start of the session and have the engine compile them.</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2% noise (this is why GrimTrigger is fragile and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 no-wishful-thinking default (cooperation must be</w:t>
      </w:r>
      <w:r>
        <w:t xml:space="preserve"> </w:t>
      </w:r>
      <w:r>
        <w:rPr>
          <w:iCs/>
          <w:i/>
        </w:rPr>
        <w:t xml:space="preserve">established</w:t>
      </w:r>
      <w:r>
        <w:t xml:space="preserve">, else defect) is itself a teachable instance of why self-reference needs grounding.</w:t>
      </w:r>
    </w:p>
    <w:bookmarkEnd w:id="49"/>
    <w:bookmarkStart w:id="50" w:name="daily-checkpoint-1"/>
    <w:p>
      <w:pPr>
        <w:pStyle w:val="Heading2"/>
      </w:pPr>
      <w:r>
        <w:t xml:space="preserve">Daily checkpoint</w:t>
      </w:r>
    </w:p>
    <w:p>
      <w:pPr>
        <w:pStyle w:val="FirstParagraph"/>
      </w:pPr>
      <w:r>
        <w:t xml:space="preserve">Run the six-question checkpoint (above) as a quick individual quiz, then read out the answers, and close with the feedback form.</w:t>
      </w:r>
    </w:p>
    <w:bookmarkEnd w:id="50"/>
    <w:bookmarkEnd w:id="51"/>
    <w:bookmarkStart w:id="52" w:name="notes-for-future-iterations"/>
    <w:p>
      <w:pPr>
        <w:pStyle w:val="Heading1"/>
      </w:pPr>
      <w:r>
        <w:t xml:space="preserve">Notes for future iterations</w:t>
      </w:r>
    </w:p>
    <w:p>
      <w:pPr>
        <w:numPr>
          <w:ilvl w:val="0"/>
          <w:numId w:val="1010"/>
        </w:numPr>
        <w:pStyle w:val="Compact"/>
      </w:pPr>
      <w:r>
        <w:t xml:space="preserve">Introducing the tournament before lunch (not at 15:00) noticeably improved bot quality, since students had idle time to design.</w:t>
      </w:r>
    </w:p>
    <w:p>
      <w:pPr>
        <w:numPr>
          <w:ilvl w:val="0"/>
          <w:numId w:val="1010"/>
        </w:numPr>
        <w:pStyle w:val="Compact"/>
      </w:pPr>
      <w:r>
        <w:t xml:space="preserve">The chronological-semimeasure-vs-joint-prediction material is the first thing to cut when the morning runs long; it is not needed downstream.</w:t>
      </w:r>
    </w:p>
    <w:p>
      <w:pPr>
        <w:numPr>
          <w:ilvl w:val="0"/>
          <w:numId w:val="1010"/>
        </w:numPr>
        <w:pStyle w:val="Compact"/>
      </w:pPr>
      <w:r>
        <w:t xml:space="preserve">Entanglement-free SPI is genuinely frontier and partly unpublished; keep it to a pointer unless the cohort is strong and time allows, or it eats the afternoon.</w:t>
      </w:r>
    </w:p>
    <w:p>
      <w:pPr>
        <w:numPr>
          <w:ilvl w:val="0"/>
          <w:numId w:val="1010"/>
        </w:numPr>
        <w:pStyle w:val="Compact"/>
      </w:pPr>
      <w:r>
        <w:t xml:space="preserve">Consider seeding the tournament with one well-explained student bot from a previous cohort as a worked example of the rationale standard.</w:t>
      </w:r>
    </w:p>
    <w:p>
      <w:pPr>
        <w:numPr>
          <w:ilvl w:val="0"/>
          <w:numId w:val="1010"/>
        </w:numPr>
        <w:pStyle w:val="Compact"/>
      </w:pPr>
      <w:r>
        <w:t xml:space="preserve">The transparency discussion prompt and the afternoon lecture overlap by design; if the discussion is going well, let it run and compress the afternoon lecture’s open-source-game-theory opening, since the room will already be there.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710.05060" TargetMode="External" /><Relationship Type="http://schemas.openxmlformats.org/officeDocument/2006/relationships/hyperlink" Id="rId41" Target="https://arxiv.org/abs/2403.05103" TargetMode="External" /><Relationship Type="http://schemas.openxmlformats.org/officeDocument/2006/relationships/hyperlink" Id="rId40" Target="https://arxiv.org/abs/2412.14570" TargetMode="External" /><Relationship Type="http://schemas.openxmlformats.org/officeDocument/2006/relationships/hyperlink" Id="rId24" Target="https://iliad.au.pe/sessions/decision-theory/handout.html" TargetMode="External" /><Relationship Type="http://schemas.openxmlformats.org/officeDocument/2006/relationships/hyperlink" Id="rId23" Target="https://iliad.au.pe/sessions/decision-theory/participant-guide.html" TargetMode="External" /><Relationship Type="http://schemas.openxmlformats.org/officeDocument/2006/relationships/hyperlink" Id="rId39" Target="https://www.andrew.cmu.edu/user/coesterh/AnnotatedProgEqBibliography.html" TargetMode="External" /><Relationship Type="http://schemas.openxmlformats.org/officeDocument/2006/relationships/hyperlink" Id="rId30" Target="https://www.lesswrong.com/posts/9sYzoRnmqmxZm4Whf/conceptual-problems-with-udt-and-policy-selection" TargetMode="External" /><Relationship Type="http://schemas.openxmlformats.org/officeDocument/2006/relationships/hyperlink" Id="rId32" Target="https://www.lesswrong.com/posts/cLDcKgvM6KxBhqhGq/when-would-agis-engage-in-conflict" TargetMode="External" /><Relationship Type="http://schemas.openxmlformats.org/officeDocument/2006/relationships/hyperlink" Id="rId26" Target="https://www.lesswrong.com/posts/de3xjFaACCAk6imzv/towards-a-new-decision-theory" TargetMode="External" /><Relationship Type="http://schemas.openxmlformats.org/officeDocument/2006/relationships/hyperlink" Id="rId33" Target="https://www.lesswrong.com/posts/uGfDx9es2pnYWaWJr/individually-incentivized-safe-pareto-improvements-in-open" TargetMode="External" /><Relationship Type="http://schemas.openxmlformats.org/officeDocument/2006/relationships/hyperlink" Id="rId31" Target="https://www.lesswrong.com/posts/y3zTP6sixGjAkz7xE/pitfalls-of-building-udt-agents" TargetMode="External" /><Relationship Type="http://schemas.openxmlformats.org/officeDocument/2006/relationships/hyperlink" Id="rId29" Target="https://www.lesswrong.com/w/updateless-decision-the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2026-06-23T14:26:38Z</dcterms:created>
  <dcterms:modified xsi:type="dcterms:W3CDTF">2026-06-23T14:26:38Z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