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lecture slides, and daily-checkpoint form are linked in the Content section below.</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strands they can state the central problem and one load-bearing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tie these together through the day’s two unifying threads,</w:t>
      </w:r>
      <w:r>
        <w:t xml:space="preserve"> </w:t>
      </w:r>
      <w:r>
        <w:rPr>
          <w:iCs/>
          <w:i/>
        </w:rPr>
        <w:t xml:space="preserve">reflective stability</w:t>
      </w:r>
      <w:r>
        <w:t xml:space="preserve"> </w:t>
      </w:r>
      <w:r>
        <w:t xml:space="preserve">and the search for</w:t>
      </w:r>
      <w:r>
        <w:t xml:space="preserve"> </w:t>
      </w:r>
      <w:r>
        <w:rPr>
          <w:iCs/>
          <w:i/>
        </w:rPr>
        <w:t xml:space="preserve">robust concepts (</w:t>
      </w:r>
      <w:r>
        <w:rPr>
          <w:iCs/>
          <w:i/>
        </w:rPr>
        <w:t xml:space="preserve">“</w:t>
      </w:r>
      <w:r>
        <w:rPr>
          <w:iCs/>
          <w:i/>
        </w:rPr>
        <w:t xml:space="preserve">true names</w:t>
      </w:r>
      <w:r>
        <w:rPr>
          <w:iCs/>
          <w:i/>
        </w:rPr>
        <w:t xml:space="preserve">”</w:t>
      </w:r>
      <w:r>
        <w:rPr>
          <w:iCs/>
          <w:i/>
        </w:rPr>
        <w:t xml:space="preserve">)</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the main strands and how they fit together.</w:t>
      </w:r>
    </w:p>
    <w:p>
      <w:pPr>
        <w:pStyle w:val="BodyText"/>
      </w:pPr>
      <w:r>
        <w:rPr>
          <w:bCs/>
          <w:b/>
        </w:rPr>
        <w:t xml:space="preserve">(How.)</w:t>
      </w:r>
      <w:r>
        <w:t xml:space="preserve"> </w:t>
      </w:r>
      <w:r>
        <w:t xml:space="preserve">Each student goes deep on one pre-reading track beforehand. A one-hour morning lecture lays out the unifying spine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68" w:name="content"/>
    <w:p>
      <w:pPr>
        <w:pStyle w:val="Heading1"/>
      </w:pPr>
      <w:r>
        <w:t xml:space="preserve">Content</w:t>
      </w:r>
    </w:p>
    <w:p>
      <w:pPr>
        <w:pStyle w:val="FirstParagraph"/>
      </w:pPr>
      <w:r>
        <w:t xml:space="preserve">Slides:</w:t>
      </w:r>
      <w:r>
        <w:t xml:space="preserve"> </w:t>
      </w:r>
      <w:hyperlink r:id="rId23">
        <w:r>
          <w:rPr>
            <w:rStyle w:val="Hyperlink"/>
          </w:rPr>
          <w:t xml:space="preserve">Agent Foundations lecture slides</w:t>
        </w:r>
      </w:hyperlink>
      <w:r>
        <w:t xml:space="preserve">. Exercise sheet:</w:t>
      </w:r>
      <w:r>
        <w:t xml:space="preserve"> </w:t>
      </w:r>
      <w:hyperlink r:id="rId24">
        <w:r>
          <w:rPr>
            <w:rStyle w:val="Hyperlink"/>
          </w:rPr>
          <w:t xml:space="preserve">Agency exercises</w:t>
        </w:r>
      </w:hyperlink>
      <w:r>
        <w:t xml:space="preserve"> </w:t>
      </w:r>
      <w:r>
        <w:t xml:space="preserve">(worked solutions available to instructors).</w:t>
      </w:r>
    </w:p>
    <w:bookmarkStart w:id="27"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5">
        <w:r>
          <w:rPr>
            <w:rStyle w:val="Hyperlink"/>
          </w:rPr>
          <w:t xml:space="preserve">Embedded agency</w:t>
        </w:r>
      </w:hyperlink>
      <w:r>
        <w:t xml:space="preserve"> </w:t>
      </w:r>
      <w:r>
        <w:t xml:space="preserve">up to and including section 3.3, then section 4.1, and</w:t>
      </w:r>
      <w:r>
        <w:t xml:space="preserve"> </w:t>
      </w:r>
      <w:hyperlink r:id="rId26">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five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7"/>
    <w:bookmarkStart w:id="52" w:name="main-content"/>
    <w:p>
      <w:pPr>
        <w:pStyle w:val="Heading2"/>
      </w:pPr>
      <w:r>
        <w:t xml:space="preserve">Main content</w:t>
      </w:r>
    </w:p>
    <w:p>
      <w:pPr>
        <w:pStyle w:val="FirstParagraph"/>
      </w:pPr>
      <w:r>
        <w:t xml:space="preserve">Agent foundations is not one theory but several research strands, each attacking a different facet of the same problem: how to reason about, and build, agents that are</w:t>
      </w:r>
      <w:r>
        <w:t xml:space="preserve"> </w:t>
      </w:r>
      <w:r>
        <w:rPr>
          <w:iCs/>
          <w:i/>
        </w:rPr>
        <w:t xml:space="preserve">embedded</w:t>
      </w:r>
      <w:r>
        <w:t xml:space="preserve"> </w:t>
      </w:r>
      <w:r>
        <w:t xml:space="preserve">in the world they act on. This day is organized around five such strands (consequentialist foundations; Löb’s theorem and tiling agents; logical induction; optimization and thermodynamics; descriptive agent foundations). Each student pre-reads one strand in depth before the day; the morning lecture supplies the spine that connects them; the shared fundamental readings and a small-group discussion knit them into a single picture; and an exercise session makes a few of the results rigorous.</w:t>
      </w:r>
    </w:p>
    <w:p>
      <w:pPr>
        <w:pStyle w:val="BodyText"/>
      </w:pPr>
      <w:r>
        <w:t xml:space="preserve">Read top to bottom, this section runs: the unifying spine (the morning lecture), then the fundamental readings that give a bird’s-eye view, then the five strands each with its readings, then the cross-pollination discussion, the exercises, and a self-check.</w:t>
      </w:r>
    </w:p>
    <w:bookmarkStart w:id="28" w:name="morning-lecture"/>
    <w:p>
      <w:pPr>
        <w:pStyle w:val="Heading3"/>
      </w:pPr>
      <w:r>
        <w:t xml:space="preserve">Morning lecture</w:t>
      </w:r>
    </w:p>
    <w:p>
      <w:pPr>
        <w:pStyle w:val="FirstParagraph"/>
      </w:pPr>
      <w:r>
        <w:rPr>
          <w:iCs/>
          <w:i/>
        </w:rPr>
        <w:t xml:space="preserve">Intent: give students the through-line (the unifying spine) that ties the five pre-reading tracks together, so the rest of the day reads as one picture rather than five disconnected topics. A teacher short on time should protect the embedded-agency and reflective-stability framing above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8"/>
    <w:bookmarkStart w:id="31" w:name="fundamental-reading"/>
    <w:p>
      <w:pPr>
        <w:pStyle w:val="Heading3"/>
      </w:pPr>
      <w:r>
        <w:t xml:space="preserve">Fundamental reading</w:t>
      </w:r>
    </w:p>
    <w:p>
      <w:pPr>
        <w:pStyle w:val="FirstParagraph"/>
      </w:pPr>
      <w:r>
        <w:rPr>
          <w:iCs/>
          <w:i/>
        </w:rPr>
        <w:t xml:space="preserve">Intent: a shared bird’s-eye view that ties the five tracks to embedded agency, so the mixed-group discussion has common ground. Everyone reads these on the day (skimming beforehand is fine).</w:t>
      </w:r>
    </w:p>
    <w:p>
      <w:pPr>
        <w:numPr>
          <w:ilvl w:val="0"/>
          <w:numId w:val="1004"/>
        </w:numPr>
        <w:pStyle w:val="Compact"/>
      </w:pPr>
      <w:hyperlink r:id="rId25">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6">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29">
        <w:r>
          <w:rPr>
            <w:rStyle w:val="Hyperlink"/>
          </w:rPr>
          <w:t xml:space="preserve">Reflectively consistent degree of freedom</w:t>
        </w:r>
      </w:hyperlink>
      <w:r>
        <w:t xml:space="preserve">: read entirely. The precise notion behind a property an agent would not self-modify away, which is the day’s recurring theme of reflective stability.</w:t>
      </w:r>
    </w:p>
    <w:p>
      <w:pPr>
        <w:numPr>
          <w:ilvl w:val="0"/>
          <w:numId w:val="1004"/>
        </w:numPr>
        <w:pStyle w:val="Compact"/>
      </w:pPr>
      <w:hyperlink r:id="rId30">
        <w:r>
          <w:rPr>
            <w:rStyle w:val="Hyperlink"/>
          </w:rPr>
          <w:t xml:space="preserve">General purpose search</w:t>
        </w:r>
      </w:hyperlink>
      <w:r>
        <w:t xml:space="preserve">: read entirely. Why a capable mind plausibly contains a retargetable search process.</w:t>
      </w:r>
    </w:p>
    <w:bookmarkEnd w:id="31"/>
    <w:bookmarkStart w:id="47" w:name="the-five-strands-pre-reading-tracks"/>
    <w:p>
      <w:pPr>
        <w:pStyle w:val="Heading3"/>
      </w:pPr>
      <w:r>
        <w:t xml:space="preserve">The five strands (pre-reading tracks)</w:t>
      </w:r>
    </w:p>
    <w:p>
      <w:pPr>
        <w:pStyle w:val="FirstParagraph"/>
      </w:pPr>
      <w:r>
        <w:rPr>
          <w:iCs/>
          <w:i/>
        </w:rPr>
        <w:t xml:space="preserve">The five strands are different facets of one problem, embedded agency; each student pre-reads one. Every summary below is self-contained at the conceptual level and ends with that strand’s readings (start with the first listed, which is the most conceptual). The morning lecture previews all five; the cross-pollination discussion connects them.</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r>
        <w:t xml:space="preserve"> </w:t>
      </w:r>
      <w:r>
        <w:rPr>
          <w:iCs/>
          <w:i/>
        </w:rPr>
        <w:t xml:space="preserve">Readings:</w:t>
      </w:r>
      <w:r>
        <w:t xml:space="preserve"> </w:t>
      </w:r>
      <w:hyperlink r:id="rId32">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hyperlink r:id="rId33">
        <w:r>
          <w:rPr>
            <w:rStyle w:val="Hyperlink"/>
          </w:rPr>
          <w:t xml:space="preserve">The measuring stick of utility</w:t>
        </w:r>
      </w:hyperlink>
      <w:r>
        <w:t xml:space="preserve">;</w:t>
      </w:r>
      <w:r>
        <w:t xml:space="preserve"> </w:t>
      </w:r>
      <w:hyperlink r:id="rId34">
        <w:r>
          <w:rPr>
            <w:rStyle w:val="Hyperlink"/>
          </w:rPr>
          <w:t xml:space="preserve">Complete class: consequentialist foundations</w:t>
        </w:r>
      </w:hyperlink>
      <w:r>
        <w:t xml:space="preserve">.</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r>
        <w:t xml:space="preserve"> </w:t>
      </w:r>
      <w:r>
        <w:rPr>
          <w:iCs/>
          <w:i/>
        </w:rPr>
        <w:t xml:space="preserve">Readings:</w:t>
      </w:r>
      <w:r>
        <w:t xml:space="preserve"> </w:t>
      </w:r>
      <w:hyperlink r:id="rId35">
        <w:r>
          <w:rPr>
            <w:rStyle w:val="Hyperlink"/>
          </w:rPr>
          <w:t xml:space="preserve">Introduction to Löb’s theorem</w:t>
        </w:r>
      </w:hyperlink>
      <w:r>
        <w:t xml:space="preserve"> </w:t>
      </w:r>
      <w:r>
        <w:t xml:space="preserve">(up to and including section 3);</w:t>
      </w:r>
      <w:r>
        <w:t xml:space="preserve"> </w:t>
      </w:r>
      <w:hyperlink r:id="rId36">
        <w:r>
          <w:rPr>
            <w:rStyle w:val="Hyperlink"/>
          </w:rPr>
          <w:t xml:space="preserve">Vingean reflection</w:t>
        </w:r>
      </w:hyperlink>
      <w:r>
        <w:t xml:space="preserve">;</w:t>
      </w:r>
      <w:r>
        <w:t xml:space="preserve"> </w:t>
      </w:r>
      <w:hyperlink r:id="rId37">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r>
        <w:t xml:space="preserve"> </w:t>
      </w:r>
      <w:r>
        <w:rPr>
          <w:iCs/>
          <w:i/>
        </w:rPr>
        <w:t xml:space="preserve">Readings:</w:t>
      </w:r>
      <w:r>
        <w:t xml:space="preserve"> </w:t>
      </w:r>
      <w:hyperlink r:id="rId38">
        <w:r>
          <w:rPr>
            <w:rStyle w:val="Hyperlink"/>
          </w:rPr>
          <w:t xml:space="preserve">An intuitive guide to Garrabrant induction</w:t>
        </w:r>
      </w:hyperlink>
      <w:r>
        <w:t xml:space="preserve">;</w:t>
      </w:r>
      <w:r>
        <w:t xml:space="preserve"> </w:t>
      </w:r>
      <w:hyperlink r:id="rId39">
        <w:r>
          <w:rPr>
            <w:rStyle w:val="Hyperlink"/>
          </w:rPr>
          <w:t xml:space="preserve">Logical induction</w:t>
        </w:r>
      </w:hyperlink>
      <w:r>
        <w:t xml:space="preserve"> </w:t>
      </w:r>
      <w:r>
        <w:t xml:space="preserve">(chapters 1 and 3; skim chapter 4).</w:t>
      </w:r>
    </w:p>
    <w:p>
      <w:pPr>
        <w:pStyle w:val="BodyText"/>
      </w:pPr>
      <w:r>
        <w:rPr>
          <w:bCs/>
          <w:b/>
        </w:rPr>
        <w:t xml:space="preserve">4.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rPr>
          <w:iCs/>
          <w:i/>
        </w:rPr>
        <w:t xml:space="preserve">Readings:</w:t>
      </w:r>
      <w:r>
        <w:t xml:space="preserve"> </w:t>
      </w:r>
      <w:r>
        <w:t xml:space="preserve">the self-contained note</w:t>
      </w:r>
      <w:r>
        <w:t xml:space="preserve"> </w:t>
      </w:r>
      <w:hyperlink r:id="rId40">
        <w:r>
          <w:rPr>
            <w:rStyle w:val="Hyperlink"/>
          </w:rPr>
          <w:t xml:space="preserve">Optimization and thermodynamics</w:t>
        </w:r>
      </w:hyperlink>
      <w:r>
        <w:t xml:space="preserve"> </w:t>
      </w:r>
      <w:r>
        <w:t xml:space="preserve">(read entirely; appendix optional) is the primary reading; its underlying sources are</w:t>
      </w:r>
      <w:r>
        <w:t xml:space="preserve"> </w:t>
      </w:r>
      <w:hyperlink r:id="rId41">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hyperlink r:id="rId42">
        <w:r>
          <w:rPr>
            <w:rStyle w:val="Hyperlink"/>
          </w:rPr>
          <w:t xml:space="preserve">Generalized heat engine</w:t>
        </w:r>
      </w:hyperlink>
      <w:r>
        <w:t xml:space="preserve">, and</w:t>
      </w:r>
      <w:r>
        <w:t xml:space="preserve"> </w:t>
      </w:r>
      <w:hyperlink r:id="rId43">
        <w:r>
          <w:rPr>
            <w:rStyle w:val="Hyperlink"/>
          </w:rPr>
          <w:t xml:space="preserve">Algorithmic thermodynamics and three types of optimization</w:t>
        </w:r>
      </w:hyperlink>
      <w:r>
        <w:t xml:space="preserve">.</w:t>
      </w:r>
    </w:p>
    <w:p>
      <w:pPr>
        <w:pStyle w:val="BodyText"/>
      </w:pPr>
      <w:r>
        <w:rPr>
          <w:bCs/>
          <w:b/>
        </w:rPr>
        <w:t xml:space="preserve">5.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r>
        <w:t xml:space="preserve"> </w:t>
      </w:r>
      <w:r>
        <w:rPr>
          <w:iCs/>
          <w:i/>
        </w:rPr>
        <w:t xml:space="preserve">Readings:</w:t>
      </w:r>
      <w:r>
        <w:t xml:space="preserve"> </w:t>
      </w:r>
      <w:hyperlink r:id="rId44">
        <w:r>
          <w:rPr>
            <w:rStyle w:val="Hyperlink"/>
          </w:rPr>
          <w:t xml:space="preserve">Selection theorems: a program for understanding agents</w:t>
        </w:r>
      </w:hyperlink>
      <w:r>
        <w:t xml:space="preserve">;</w:t>
      </w:r>
      <w:r>
        <w:t xml:space="preserve"> </w:t>
      </w:r>
      <w:hyperlink r:id="rId45">
        <w:r>
          <w:rPr>
            <w:rStyle w:val="Hyperlink"/>
          </w:rPr>
          <w:t xml:space="preserve">How we picture Bayesian agents</w:t>
        </w:r>
      </w:hyperlink>
      <w:r>
        <w:t xml:space="preserve">;</w:t>
      </w:r>
      <w:r>
        <w:t xml:space="preserve"> </w:t>
      </w:r>
      <w:hyperlink r:id="rId46">
        <w:r>
          <w:rPr>
            <w:rStyle w:val="Hyperlink"/>
          </w:rPr>
          <w:t xml:space="preserve">What selection theorems do we expect/want</w:t>
        </w:r>
      </w:hyperlink>
      <w:r>
        <w:t xml:space="preserve">.</w:t>
      </w:r>
    </w:p>
    <w:bookmarkEnd w:id="47"/>
    <w:bookmarkStart w:id="48"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On the day, students who pre-read different strands meet in small mixed groups and work to connect their topics into one picture of embedded agency: how a logical inductor’s trust in its future self relates to a tiling agent’s trust in its successor, how the coherence account of goals relates to the thermodynamic one, how the representational view of agency (coherence) relates to the mechanistic one (selection theorems). The specific discussion prompts used are listed in the teaching guide.</w:t>
      </w:r>
    </w:p>
    <w:bookmarkEnd w:id="48"/>
    <w:bookmarkStart w:id="49"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in the</w:t>
      </w:r>
      <w:r>
        <w:t xml:space="preserve"> </w:t>
      </w:r>
      <w:hyperlink r:id="rId24">
        <w:r>
          <w:rPr>
            <w:rStyle w:val="Hyperlink"/>
          </w:rPr>
          <w:t xml:space="preserve">exercise sheet</w:t>
        </w:r>
      </w:hyperlink>
      <w:r>
        <w:t xml:space="preserve">; worked solutions available to instructors), grouped by topic:</w:t>
      </w:r>
    </w:p>
    <w:p>
      <w:pPr>
        <w:pStyle w:val="BodyText"/>
      </w:pPr>
      <w:r>
        <w:rPr>
          <w:iCs/>
          <w:i/>
        </w:rPr>
        <w:t xml:space="preserve">Logical uncertainty and self-reference.</w:t>
      </w:r>
    </w:p>
    <w:p>
      <w:pPr>
        <w:numPr>
          <w:ilvl w:val="0"/>
          <w:numId w:val="1005"/>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5"/>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6"/>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7"/>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7"/>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49"/>
    <w:bookmarkStart w:id="51"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The live form used on the day:</w:t>
      </w:r>
      <w:r>
        <w:t xml:space="preserve"> </w:t>
      </w:r>
      <w:hyperlink r:id="rId50">
        <w:r>
          <w:rPr>
            <w:rStyle w:val="Hyperlink"/>
          </w:rPr>
          <w:t xml:space="preserve">https://form.jotform.com/261724721333048</w:t>
        </w:r>
      </w:hyperlink>
      <w:r>
        <w:t xml:space="preserve">. The questions below are a self-contained version; answers at the end of this section.</w:t>
      </w:r>
    </w:p>
    <w:p>
      <w:pPr>
        <w:numPr>
          <w:ilvl w:val="0"/>
          <w:numId w:val="1008"/>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8"/>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8"/>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8"/>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8"/>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8"/>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51"/>
    <w:bookmarkEnd w:id="52"/>
    <w:bookmarkStart w:id="67" w:name="learn-more"/>
    <w:p>
      <w:pPr>
        <w:pStyle w:val="Heading2"/>
      </w:pPr>
      <w:r>
        <w:t xml:space="preserve">Learn more</w:t>
      </w:r>
    </w:p>
    <w:p>
      <w:pPr>
        <w:pStyle w:val="FirstParagraph"/>
      </w:pPr>
      <w:r>
        <w:t xml:space="preserve">The readings for each strand are linked under that strand in the Main content above. Beyond them:</w:t>
      </w:r>
    </w:p>
    <w:p>
      <w:pPr>
        <w:pStyle w:val="BodyText"/>
      </w:pPr>
      <w:r>
        <w:rPr>
          <w:bCs/>
          <w:b/>
        </w:rPr>
        <w:t xml:space="preserve">Algorithmic thermodynamics (Ebtekar).</w:t>
      </w:r>
      <w:r>
        <w:t xml:space="preserve"> </w:t>
      </w:r>
      <w:hyperlink r:id="rId53">
        <w:r>
          <w:rPr>
            <w:rStyle w:val="Hyperlink"/>
          </w:rPr>
          <w:t xml:space="preserve">Foundations of algorithmic thermodynamics</w:t>
        </w:r>
      </w:hyperlink>
      <w:r>
        <w:t xml:space="preserve">;</w:t>
      </w:r>
      <w:r>
        <w:t xml:space="preserve"> </w:t>
      </w:r>
      <w:hyperlink r:id="rId54">
        <w:r>
          <w:rPr>
            <w:rStyle w:val="Hyperlink"/>
          </w:rPr>
          <w:t xml:space="preserve">Modelling the arrows of time with causal multibaker maps</w:t>
        </w:r>
      </w:hyperlink>
      <w:r>
        <w:t xml:space="preserve">;</w:t>
      </w:r>
      <w:r>
        <w:t xml:space="preserve"> </w:t>
      </w:r>
      <w:hyperlink r:id="rId55">
        <w:r>
          <w:rPr>
            <w:rStyle w:val="Hyperlink"/>
          </w:rPr>
          <w:t xml:space="preserve">Long-time derivation of the Boltzmann equation from hard-sphere dynamics</w:t>
        </w:r>
      </w:hyperlink>
      <w:r>
        <w:t xml:space="preserve">.</w:t>
      </w:r>
    </w:p>
    <w:p>
      <w:pPr>
        <w:pStyle w:val="BodyText"/>
      </w:pPr>
      <w:r>
        <w:rPr>
          <w:bCs/>
          <w:b/>
        </w:rPr>
        <w:t xml:space="preserve">Embedded and universal AI (Wyeth).</w:t>
      </w:r>
      <w:r>
        <w:t xml:space="preserve"> </w:t>
      </w:r>
      <w:hyperlink r:id="rId56">
        <w:r>
          <w:rPr>
            <w:rStyle w:val="Hyperlink"/>
          </w:rPr>
          <w:t xml:space="preserve">Limit-computable grains of truth</w:t>
        </w:r>
      </w:hyperlink>
      <w:r>
        <w:t xml:space="preserve">;</w:t>
      </w:r>
      <w:r>
        <w:t xml:space="preserve"> </w:t>
      </w:r>
      <w:hyperlink r:id="rId57">
        <w:r>
          <w:rPr>
            <w:rStyle w:val="Hyperlink"/>
          </w:rPr>
          <w:t xml:space="preserve">Embeddedness failures in universal artificial intelligence</w:t>
        </w:r>
      </w:hyperlink>
      <w:r>
        <w:t xml:space="preserve">;</w:t>
      </w:r>
      <w:r>
        <w:t xml:space="preserve"> </w:t>
      </w:r>
      <w:hyperlink r:id="rId58">
        <w:r>
          <w:rPr>
            <w:rStyle w:val="Hyperlink"/>
          </w:rPr>
          <w:t xml:space="preserve">Value under ignorance</w:t>
        </w:r>
      </w:hyperlink>
      <w:r>
        <w:t xml:space="preserve">.</w:t>
      </w:r>
    </w:p>
    <w:p>
      <w:pPr>
        <w:pStyle w:val="BodyText"/>
      </w:pPr>
      <w:r>
        <w:rPr>
          <w:bCs/>
          <w:b/>
        </w:rPr>
        <w:t xml:space="preserve">Other directions.</w:t>
      </w:r>
      <w:r>
        <w:t xml:space="preserve"> </w:t>
      </w:r>
      <w:hyperlink r:id="rId59">
        <w:r>
          <w:rPr>
            <w:rStyle w:val="Hyperlink"/>
          </w:rPr>
          <w:t xml:space="preserve">Introduction to the infra-Bayesianism sequence</w:t>
        </w:r>
      </w:hyperlink>
      <w:r>
        <w:t xml:space="preserve"> </w:t>
      </w:r>
      <w:r>
        <w:t xml:space="preserve">(non-realizable environments);</w:t>
      </w:r>
      <w:r>
        <w:t xml:space="preserve"> </w:t>
      </w:r>
      <w:hyperlink r:id="rId60">
        <w:r>
          <w:rPr>
            <w:rStyle w:val="Hyperlink"/>
          </w:rPr>
          <w:t xml:space="preserve">The learning-theoretic agenda</w:t>
        </w:r>
      </w:hyperlink>
      <w:r>
        <w:t xml:space="preserve">;</w:t>
      </w:r>
      <w:r>
        <w:t xml:space="preserve"> </w:t>
      </w:r>
      <w:hyperlink r:id="rId61">
        <w:r>
          <w:rPr>
            <w:rStyle w:val="Hyperlink"/>
          </w:rPr>
          <w:t xml:space="preserve">Optimization at a distance</w:t>
        </w:r>
      </w:hyperlink>
      <w:r>
        <w:t xml:space="preserve">; the</w:t>
      </w:r>
      <w:r>
        <w:t xml:space="preserve"> </w:t>
      </w:r>
      <w:hyperlink r:id="rId62">
        <w:r>
          <w:rPr>
            <w:rStyle w:val="Hyperlink"/>
          </w:rPr>
          <w:t xml:space="preserve">hard problem of corrigibility</w:t>
        </w:r>
      </w:hyperlink>
      <w:r>
        <w:t xml:space="preserve"> </w:t>
      </w:r>
      <w:r>
        <w:t xml:space="preserve">and a</w:t>
      </w:r>
      <w:r>
        <w:t xml:space="preserve"> </w:t>
      </w:r>
      <w:hyperlink r:id="rId63">
        <w:r>
          <w:rPr>
            <w:rStyle w:val="Hyperlink"/>
          </w:rPr>
          <w:t xml:space="preserve">critique of the corrigibility basin of attraction</w:t>
        </w:r>
      </w:hyperlink>
      <w:r>
        <w:t xml:space="preserve">; the original</w:t>
      </w:r>
      <w:r>
        <w:t xml:space="preserve"> </w:t>
      </w:r>
      <w:hyperlink r:id="rId64">
        <w:r>
          <w:rPr>
            <w:rStyle w:val="Hyperlink"/>
          </w:rPr>
          <w:t xml:space="preserve">tiling agents draft</w:t>
        </w:r>
      </w:hyperlink>
      <w:r>
        <w:t xml:space="preserve">; and background notes on</w:t>
      </w:r>
      <w:r>
        <w:t xml:space="preserve"> </w:t>
      </w:r>
      <w:hyperlink r:id="rId65">
        <w:r>
          <w:rPr>
            <w:rStyle w:val="Hyperlink"/>
          </w:rPr>
          <w:t xml:space="preserve">admissibility and the complete class theorem</w:t>
        </w:r>
      </w:hyperlink>
      <w:r>
        <w:t xml:space="preserve"> </w:t>
      </w:r>
      <w:r>
        <w:t xml:space="preserve">and the</w:t>
      </w:r>
      <w:r>
        <w:t xml:space="preserve"> </w:t>
      </w:r>
      <w:hyperlink r:id="rId66">
        <w:r>
          <w:rPr>
            <w:rStyle w:val="Hyperlink"/>
          </w:rPr>
          <w:t xml:space="preserve">Dutch book argument</w:t>
        </w:r>
      </w:hyperlink>
      <w:r>
        <w:t xml:space="preserve">.</w:t>
      </w:r>
    </w:p>
    <w:p>
      <w:pPr>
        <w:pStyle w:val="BodyText"/>
      </w:pPr>
      <w:r>
        <w:rPr>
          <w:bCs/>
          <w:b/>
        </w:rPr>
        <w:t xml:space="preserve">Research frontier.</w:t>
      </w:r>
      <w:r>
        <w:t xml:space="preserve"> </w:t>
      </w:r>
      <w:r>
        <w:t xml:space="preserve">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67"/>
    <w:bookmarkEnd w:id="68"/>
    <w:bookmarkStart w:id="76"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69" w:name="time-schedule"/>
    <w:p>
      <w:pPr>
        <w:pStyle w:val="Heading2"/>
      </w:pPr>
      <w:r>
        <w:t xml:space="preserve">Time schedule</w:t>
      </w:r>
    </w:p>
    <w:p>
      <w:pPr>
        <w:numPr>
          <w:ilvl w:val="0"/>
          <w:numId w:val="1009"/>
        </w:numPr>
        <w:pStyle w:val="Compact"/>
      </w:pPr>
      <w:r>
        <w:t xml:space="preserve">10:00–11:00 Morning lecture (the unifying spine; preview each strand).</w:t>
      </w:r>
    </w:p>
    <w:p>
      <w:pPr>
        <w:numPr>
          <w:ilvl w:val="0"/>
          <w:numId w:val="1009"/>
        </w:numPr>
        <w:pStyle w:val="Compact"/>
      </w:pPr>
      <w:r>
        <w:t xml:space="preserve">11:00–12:30 Fundamental reading (90 min; the four shared readings).</w:t>
      </w:r>
    </w:p>
    <w:p>
      <w:pPr>
        <w:numPr>
          <w:ilvl w:val="0"/>
          <w:numId w:val="1009"/>
        </w:numPr>
        <w:pStyle w:val="Compact"/>
      </w:pPr>
      <w:r>
        <w:t xml:space="preserve">12:30–13:30 Lunch.</w:t>
      </w:r>
    </w:p>
    <w:p>
      <w:pPr>
        <w:numPr>
          <w:ilvl w:val="0"/>
          <w:numId w:val="1009"/>
        </w:numPr>
        <w:pStyle w:val="Compact"/>
      </w:pPr>
      <w:r>
        <w:t xml:space="preserve">13:30–15:30 Cross-pollination discussion (120 min; mixed-track small groups).</w:t>
      </w:r>
    </w:p>
    <w:p>
      <w:pPr>
        <w:numPr>
          <w:ilvl w:val="0"/>
          <w:numId w:val="1009"/>
        </w:numPr>
        <w:pStyle w:val="Compact"/>
      </w:pPr>
      <w:r>
        <w:t xml:space="preserve">15:30–15:45 Break.</w:t>
      </w:r>
    </w:p>
    <w:p>
      <w:pPr>
        <w:numPr>
          <w:ilvl w:val="0"/>
          <w:numId w:val="1009"/>
        </w:numPr>
        <w:pStyle w:val="Compact"/>
      </w:pPr>
      <w:r>
        <w:t xml:space="preserve">15:45–17:45 Exercise session (120 min).</w:t>
      </w:r>
    </w:p>
    <w:p>
      <w:pPr>
        <w:numPr>
          <w:ilvl w:val="0"/>
          <w:numId w:val="1009"/>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69"/>
    <w:bookmarkStart w:id="70" w:name="required-materials"/>
    <w:p>
      <w:pPr>
        <w:pStyle w:val="Heading2"/>
      </w:pPr>
      <w:r>
        <w:t xml:space="preserve">Required materials</w:t>
      </w:r>
    </w:p>
    <w:p>
      <w:pPr>
        <w:numPr>
          <w:ilvl w:val="0"/>
          <w:numId w:val="1010"/>
        </w:numPr>
        <w:pStyle w:val="Compact"/>
      </w:pPr>
      <w:r>
        <w:t xml:space="preserve">Projector and laptop for the slides.</w:t>
      </w:r>
    </w:p>
    <w:p>
      <w:pPr>
        <w:numPr>
          <w:ilvl w:val="0"/>
          <w:numId w:val="1010"/>
        </w:numPr>
        <w:pStyle w:val="Compact"/>
      </w:pPr>
      <w:r>
        <w:t xml:space="preserve">Printed (or linked) fundamental readings and the five pre-reading track sheets.</w:t>
      </w:r>
    </w:p>
    <w:p>
      <w:pPr>
        <w:numPr>
          <w:ilvl w:val="0"/>
          <w:numId w:val="1010"/>
        </w:numPr>
        <w:pStyle w:val="Compact"/>
      </w:pPr>
      <w:r>
        <w:t xml:space="preserve">Printed exercise sheets and the solutions set (for the teacher, and to hand out after).</w:t>
      </w:r>
    </w:p>
    <w:p>
      <w:pPr>
        <w:numPr>
          <w:ilvl w:val="0"/>
          <w:numId w:val="1010"/>
        </w:numPr>
        <w:pStyle w:val="Compact"/>
      </w:pPr>
      <w:r>
        <w:t xml:space="preserve">Whiteboard for the discussion block.</w:t>
      </w:r>
    </w:p>
    <w:p>
      <w:pPr>
        <w:numPr>
          <w:ilvl w:val="0"/>
          <w:numId w:val="1010"/>
        </w:numPr>
        <w:pStyle w:val="Compact"/>
      </w:pPr>
      <w:r>
        <w:t xml:space="preserve">One or more instructors/TAs to float between the cross-pollination discussion groups and seed stuck groups.</w:t>
      </w:r>
    </w:p>
    <w:p>
      <w:pPr>
        <w:numPr>
          <w:ilvl w:val="0"/>
          <w:numId w:val="1010"/>
        </w:numPr>
        <w:pStyle w:val="Compact"/>
      </w:pPr>
      <w:r>
        <w:t xml:space="preserve">The four prerequisite refresher notes, shared with students a few days ahead.</w:t>
      </w:r>
    </w:p>
    <w:bookmarkEnd w:id="70"/>
    <w:bookmarkStart w:id="71" w:name="morning-lecture-1"/>
    <w:p>
      <w:pPr>
        <w:pStyle w:val="Heading2"/>
      </w:pPr>
      <w:r>
        <w:t xml:space="preserve">Morning lecture</w:t>
      </w:r>
    </w:p>
    <w:p>
      <w:pPr>
        <w:pStyle w:val="FirstParagraph"/>
      </w:pPr>
      <w:r>
        <w:t xml:space="preserve">Walk the slides.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five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bookmarkEnd w:id="71"/>
    <w:bookmarkStart w:id="72"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72"/>
    <w:bookmarkStart w:id="73"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Let each group pick the prompts that span the tracks present;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p>
      <w:pPr>
        <w:pStyle w:val="BodyText"/>
      </w:pPr>
      <w:r>
        <w:t xml:space="preserve">Suggested prompts (groups can go beyond them):</w:t>
      </w:r>
    </w:p>
    <w:p>
      <w:pPr>
        <w:numPr>
          <w:ilvl w:val="0"/>
          <w:numId w:val="1011"/>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11"/>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11"/>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11"/>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11"/>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11"/>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73"/>
    <w:bookmarkStart w:id="74" w:name="exercise-session-1"/>
    <w:p>
      <w:pPr>
        <w:pStyle w:val="Heading2"/>
      </w:pPr>
      <w:r>
        <w:t xml:space="preserve">Exercise session</w:t>
      </w:r>
    </w:p>
    <w:p>
      <w:pPr>
        <w:pStyle w:val="FirstParagraph"/>
      </w:pPr>
      <w:r>
        <w:t xml:space="preserve">Hand out the exercise sheet.</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solutions at the end.</w:t>
      </w:r>
      <w:r>
        <w:t xml:space="preserve"> </w:t>
      </w:r>
      <w:r>
        <w:rPr>
          <w:bCs/>
          <w:b/>
        </w:rPr>
        <w:t xml:space="preserve">TN, Exercise 2(e):</w:t>
      </w:r>
      <w:r>
        <w:t xml:space="preserve"> </w:t>
      </w:r>
      <w:r>
        <w:t xml:space="preserve">the FairBot part is the payoff (Löbian cooperation), and it directly seeds the Decision Theory day’s tournament; flag the connection.</w:t>
      </w:r>
    </w:p>
    <w:bookmarkEnd w:id="74"/>
    <w:bookmarkStart w:id="75"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75"/>
    <w:bookmarkEnd w:id="76"/>
    <w:bookmarkStart w:id="77" w:name="notes-for-future-iterations"/>
    <w:p>
      <w:pPr>
        <w:pStyle w:val="Heading1"/>
      </w:pPr>
      <w:r>
        <w:t xml:space="preserve">Notes for future iterations</w:t>
      </w:r>
    </w:p>
    <w:p>
      <w:pPr>
        <w:numPr>
          <w:ilvl w:val="0"/>
          <w:numId w:val="1012"/>
        </w:numPr>
        <w:pStyle w:val="Compact"/>
      </w:pPr>
      <w:r>
        <w:t xml:space="preserve">The day is wide by design (five strands in one day). If the room skews less mathematical, consider letting students sign up for</w:t>
      </w:r>
      <w:r>
        <w:t xml:space="preserve"> </w:t>
      </w:r>
      <w:r>
        <w:rPr>
          <w:iCs/>
          <w:i/>
        </w:rPr>
        <w:t xml:space="preserve">two</w:t>
      </w:r>
      <w:r>
        <w:t xml:space="preserve"> </w:t>
      </w:r>
      <w:r>
        <w:t xml:space="preserve">tracks at lighter depth rather than one in depth, and lean the discussion harder on the conceptual prompts (1, 2, 5) over the technical ones.</w:t>
      </w:r>
    </w:p>
    <w:p>
      <w:pPr>
        <w:numPr>
          <w:ilvl w:val="0"/>
          <w:numId w:val="1012"/>
        </w:numPr>
        <w:pStyle w:val="Compact"/>
      </w:pPr>
      <w:r>
        <w:t xml:space="preserve">Decision theory has its own module (the following day) and is deliberately not a strand here, to avoid duplication; the FairBot exercise (2e) is the one explicit hand-off to it.</w:t>
      </w:r>
    </w:p>
    <w:p>
      <w:pPr>
        <w:numPr>
          <w:ilvl w:val="0"/>
          <w:numId w:val="1012"/>
        </w:numPr>
        <w:pStyle w:val="Compact"/>
      </w:pPr>
      <w:r>
        <w:t xml:space="preserve">The exercises span very different prerequisites (logic vs information theory). Grouping students by track during the exercise block worked better than leaving it open.</w:t>
      </w:r>
    </w:p>
    <w:p>
      <w:pPr>
        <w:numPr>
          <w:ilvl w:val="0"/>
          <w:numId w:val="1012"/>
        </w:numPr>
        <w:pStyle w:val="Compact"/>
      </w:pPr>
      <w:r>
        <w:t xml:space="preserve">After teaching: record which prerequisite refreshers students actually needed, and tighten the pre-reading track sizes so every group in the discussion has at least one student per represented track.</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9"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40"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5" Target="https://intelligence.org/files/lob-notes-IAFF.pdf" TargetMode="External" /><Relationship Type="http://schemas.openxmlformats.org/officeDocument/2006/relationships/hyperlink" Id="rId30" Target="https://www.lesswrong.com/posts/6mysMAqvo9giHC4iX/what-s-general-purpose-search-and-why-might-we-expect-to-see" TargetMode="External" /><Relationship Type="http://schemas.openxmlformats.org/officeDocument/2006/relationships/hyperlink" Id="rId33" Target="https://www.lesswrong.com/posts/73pTioGZKNcfQmvGF/the-measuring-stick-of-utility-problem" TargetMode="External" /><Relationship Type="http://schemas.openxmlformats.org/officeDocument/2006/relationships/hyperlink" Id="rId43"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4" Target="https://www.lesswrong.com/posts/G2Lne2Fi7Qra5Lbuf/selection-theorems-a-program-for-understanding-agents" TargetMode="External" /><Relationship Type="http://schemas.openxmlformats.org/officeDocument/2006/relationships/hyperlink" Id="rId37" Target="https://www.lesswrong.com/posts/QGrX3qK3qxQYK9D4C/walkthrough-of-the-tiling-agents-for-self-modifying-ai-paper" TargetMode="External" /><Relationship Type="http://schemas.openxmlformats.org/officeDocument/2006/relationships/hyperlink" Id="rId46" Target="https://www.lesswrong.com/posts/RuDD3aQWLDSb4eTXP/what-selection-theorems-do-we-expect-want" TargetMode="External" /><Relationship Type="http://schemas.openxmlformats.org/officeDocument/2006/relationships/hyperlink" Id="rId45"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4" Target="https://www.lesswrong.com/posts/sZuw6SGfmZHvcAAEP/complete-class-consequentialist-foundations" TargetMode="External" /><Relationship Type="http://schemas.openxmlformats.org/officeDocument/2006/relationships/hyperlink" Id="rId42" Target="https://www.lesswrong.com/posts/uKWXktrR7KpbgZAs4/generalized-heat-engine" TargetMode="External" /><Relationship Type="http://schemas.openxmlformats.org/officeDocument/2006/relationships/hyperlink" Id="rId38"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41" Target="https://www.lesswrong.com/posts/znfkdCoHMANwqc2WE/the-ground-of-optimization-1" TargetMode="External" /><Relationship Type="http://schemas.openxmlformats.org/officeDocument/2006/relationships/hyperlink" Id="rId32"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29" Target="https://www.lesswrong.com/w/reflectively-consistent-degree-of-freedom" TargetMode="External" /><Relationship Type="http://schemas.openxmlformats.org/officeDocument/2006/relationships/hyperlink" Id="rId36"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_rels/footnotes.xml.rels><?xml version="1.0" encoding="UTF-8"?><Relationships xmlns="http://schemas.openxmlformats.org/package/2006/relationships"><Relationship Type="http://schemas.openxmlformats.org/officeDocument/2006/relationships/hyperlink" Id="rId53" Target="https://arxiv.org/abs/2308.06927" TargetMode="External" /><Relationship Type="http://schemas.openxmlformats.org/officeDocument/2006/relationships/hyperlink" Id="rId55" Target="https://arxiv.org/abs/2408.07818" TargetMode="External" /><Relationship Type="http://schemas.openxmlformats.org/officeDocument/2006/relationships/hyperlink" Id="rId39" Target="https://arxiv.org/pdf/1609.03543" TargetMode="External" /><Relationship Type="http://schemas.openxmlformats.org/officeDocument/2006/relationships/hyperlink" Id="rId57" Target="https://arxiv.org/pdf/2505.17882" TargetMode="External" /><Relationship Type="http://schemas.openxmlformats.org/officeDocument/2006/relationships/hyperlink" Id="rId56" Target="https://arxiv.org/pdf/2508.16245" TargetMode="External" /><Relationship Type="http://schemas.openxmlformats.org/officeDocument/2006/relationships/hyperlink" Id="rId58" Target="https://arxiv.org/pdf/2512.17086" TargetMode="External" /><Relationship Type="http://schemas.openxmlformats.org/officeDocument/2006/relationships/hyperlink" Id="rId23" Target="https://drive.google.com/file/d/11q6mvNEbDKecZHnLDBq3nEhZWJazWX8i/view?usp=sharing" TargetMode="External" /><Relationship Type="http://schemas.openxmlformats.org/officeDocument/2006/relationships/hyperlink" Id="rId24" Target="https://drive.google.com/file/d/1D5rEEO0n1u6_7h-Pnkz-ccCcuhPusIwe/view?usp=sharing" TargetMode="External" /><Relationship Type="http://schemas.openxmlformats.org/officeDocument/2006/relationships/hyperlink" Id="rId40" Target="https://drive.google.com/file/d/1uJ3a_mVCDdCI1-kW5Ha2PyZ5otTtu-dO/view?usp=sharing" TargetMode="External" /><Relationship Type="http://schemas.openxmlformats.org/officeDocument/2006/relationships/hyperlink" Id="rId50" Target="https://form.jotform.com/261724721333048" TargetMode="External" /><Relationship Type="http://schemas.openxmlformats.org/officeDocument/2006/relationships/hyperlink" Id="rId64" Target="https://intelligence.org/files/TilingAgentsDraft.pdf" TargetMode="External" /><Relationship Type="http://schemas.openxmlformats.org/officeDocument/2006/relationships/hyperlink" Id="rId35" Target="https://intelligence.org/files/lob-notes-IAFF.pdf" TargetMode="External" /><Relationship Type="http://schemas.openxmlformats.org/officeDocument/2006/relationships/hyperlink" Id="rId30" Target="https://www.lesswrong.com/posts/6mysMAqvo9giHC4iX/what-s-general-purpose-search-and-why-might-we-expect-to-see" TargetMode="External" /><Relationship Type="http://schemas.openxmlformats.org/officeDocument/2006/relationships/hyperlink" Id="rId33" Target="https://www.lesswrong.com/posts/73pTioGZKNcfQmvGF/the-measuring-stick-of-utility-problem" TargetMode="External" /><Relationship Type="http://schemas.openxmlformats.org/officeDocument/2006/relationships/hyperlink" Id="rId43" Target="https://www.lesswrong.com/posts/CJRxQiTKEzior7jGq/algorithmic-thermodynamics-and-three-types-of-optimization" TargetMode="External" /><Relationship Type="http://schemas.openxmlformats.org/officeDocument/2006/relationships/hyperlink" Id="rId26" Target="https://www.lesswrong.com/posts/FWvzwCDRgcjb9sigb/why-agent-foundations-an-overly-abstract-explanation" TargetMode="External" /><Relationship Type="http://schemas.openxmlformats.org/officeDocument/2006/relationships/hyperlink" Id="rId44" Target="https://www.lesswrong.com/posts/G2Lne2Fi7Qra5Lbuf/selection-theorems-a-program-for-understanding-agents" TargetMode="External" /><Relationship Type="http://schemas.openxmlformats.org/officeDocument/2006/relationships/hyperlink" Id="rId37" Target="https://www.lesswrong.com/posts/QGrX3qK3qxQYK9D4C/walkthrough-of-the-tiling-agents-for-self-modifying-ai-paper" TargetMode="External" /><Relationship Type="http://schemas.openxmlformats.org/officeDocument/2006/relationships/hyperlink" Id="rId46" Target="https://www.lesswrong.com/posts/RuDD3aQWLDSb4eTXP/what-selection-theorems-do-we-expect-want" TargetMode="External" /><Relationship Type="http://schemas.openxmlformats.org/officeDocument/2006/relationships/hyperlink" Id="rId45" Target="https://www.lesswrong.com/posts/TiBsZ9beNqDHEvXt4/how-we-picture-bayesian-agents" TargetMode="External" /><Relationship Type="http://schemas.openxmlformats.org/officeDocument/2006/relationships/hyperlink" Id="rId60" Target="https://www.lesswrong.com/posts/ZwshvqiqCvXPsZEct/the-learning-theoretic-agenda-status-2023" TargetMode="External" /><Relationship Type="http://schemas.openxmlformats.org/officeDocument/2006/relationships/hyperlink" Id="rId61" Target="https://www.lesswrong.com/posts/d2n74bwham8motxyX/optimization-at-a-distance" TargetMode="External" /><Relationship Type="http://schemas.openxmlformats.org/officeDocument/2006/relationships/hyperlink" Id="rId25" Target="https://www.lesswrong.com/posts/i3BTagvt3HbPMx6PN/embedded-agency-full-text-version" TargetMode="External" /><Relationship Type="http://schemas.openxmlformats.org/officeDocument/2006/relationships/hyperlink" Id="rId63" Target="https://www.lesswrong.com/posts/oLbpfPkdtcknABvvw/the-corrigibility-basin-of-attraction-is-a-misleading-gloss" TargetMode="External" /><Relationship Type="http://schemas.openxmlformats.org/officeDocument/2006/relationships/hyperlink" Id="rId34" Target="https://www.lesswrong.com/posts/sZuw6SGfmZHvcAAEP/complete-class-consequentialist-foundations" TargetMode="External" /><Relationship Type="http://schemas.openxmlformats.org/officeDocument/2006/relationships/hyperlink" Id="rId42" Target="https://www.lesswrong.com/posts/uKWXktrR7KpbgZAs4/generalized-heat-engine" TargetMode="External" /><Relationship Type="http://schemas.openxmlformats.org/officeDocument/2006/relationships/hyperlink" Id="rId38" Target="https://www.lesswrong.com/posts/y5GftLezdozEHdXkL/an-intuitive-guide-to-garrabrant-induction" TargetMode="External" /><Relationship Type="http://schemas.openxmlformats.org/officeDocument/2006/relationships/hyperlink" Id="rId59" Target="https://www.lesswrong.com/posts/zB4f7QqKhBHa5b37a/introduction-to-the-infra-bayesianism-sequence" TargetMode="External" /><Relationship Type="http://schemas.openxmlformats.org/officeDocument/2006/relationships/hyperlink" Id="rId41" Target="https://www.lesswrong.com/posts/znfkdCoHMANwqc2WE/the-ground-of-optimization-1" TargetMode="External" /><Relationship Type="http://schemas.openxmlformats.org/officeDocument/2006/relationships/hyperlink" Id="rId32" Target="https://www.lesswrong.com/s/SgomvxZ3cJWy2SBCu/p/RQpNHSiWaXTvDxt6R" TargetMode="External" /><Relationship Type="http://schemas.openxmlformats.org/officeDocument/2006/relationships/hyperlink" Id="rId62" Target="https://www.lesswrong.com/w/hard-problem-of-corrigibility" TargetMode="External" /><Relationship Type="http://schemas.openxmlformats.org/officeDocument/2006/relationships/hyperlink" Id="rId29" Target="https://www.lesswrong.com/w/reflectively-consistent-degree-of-freedom" TargetMode="External" /><Relationship Type="http://schemas.openxmlformats.org/officeDocument/2006/relationships/hyperlink" Id="rId36" Target="https://www.lesswrong.com/w/vingean-reflection" TargetMode="External" /><Relationship Type="http://schemas.openxmlformats.org/officeDocument/2006/relationships/hyperlink" Id="rId54" Target="https://www.mdpi.com/1099-4300/26/9/776" TargetMode="External" /><Relationship Type="http://schemas.openxmlformats.org/officeDocument/2006/relationships/hyperlink" Id="rId66" Target="https://www.stat.berkeley.edu/~census/dutchdef.pdf" TargetMode="External" /><Relationship Type="http://schemas.openxmlformats.org/officeDocument/2006/relationships/hyperlink" Id="rId65" Target="https://www2.stat.duke.edu/~pdh10/Teaching/581/LectureNotes/admis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2026-06-23T14:58:46Z</dcterms:created>
  <dcterms:modified xsi:type="dcterms:W3CDTF">2026-06-23T14:58:46Z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