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IDX Exchange — Data Exploration v1</w:t>
      </w:r>
    </w:p>
    <w:p>
      <w:pPr>
        <w:spacing w:after="60"/>
      </w:pPr>
      <w:r>
        <w:rPr>
          <w:b/>
          <w:bCs/>
          <w:color w:val="2E75B6"/>
          <w:sz w:val="28"/>
          <w:szCs w:val="28"/>
        </w:rPr>
        <w:t xml:space="preserve">Housing Dataset: Feature Utility Assessment</w:t>
      </w:r>
    </w:p>
    <w:p>
      <w:pPr>
        <w:pBdr>
          <w:bottom w:val="single" w:color="2E75B6" w:sz="6"/>
        </w:pBdr>
        <w:spacing w:after="200"/>
      </w:pPr>
      <w:r>
        <w:t xml:space="preserve"/>
      </w:r>
    </w:p>
    <w:p>
      <w:pPr>
        <w:spacing w:after="120"/>
      </w:pPr>
      <w:r>
        <w:rPr>
          <w:sz w:val="20"/>
          <w:szCs w:val="20"/>
        </w:rPr>
        <w:t xml:space="preserve">This document presents an initial review of MLS dataset columns assessed for their predictive utility in training a residential close price model. Features are organized by the type of information they encode and their anticipated relationship to ClosePrice — the target variable. The goal is not to catalog every field exhaustively, but to articulate the reasoning behind each grouping so that feature selection decisions remain transparent, documented, and defensible throughout the modeling process.</w:t>
      </w:r>
    </w:p>
    <w:p>
      <w:pPr>
        <w:pStyle w:val="Heading2"/>
        <w:spacing w:after="100" w:before="300"/>
      </w:pPr>
      <w:r>
        <w:rPr>
          <w:b/>
          <w:bCs/>
          <w:color w:val="2E75B6"/>
          <w:sz w:val="28"/>
          <w:szCs w:val="28"/>
        </w:rPr>
        <w:t xml:space="preserve">✅  Useful Features</w:t>
      </w:r>
    </w:p>
    <w:p>
      <w:pPr>
        <w:spacing w:after="120"/>
      </w:pPr>
      <w:r>
        <w:rPr>
          <w:sz w:val="20"/>
          <w:szCs w:val="20"/>
        </w:rPr>
        <w:t xml:space="preserve">These fields are expected to be directly and meaningfully informative about ClosePrice. They capture property characteristics, physical size, condition signals, carrying costs, and broader market context — the foundational inputs to any hedonic pricing framework.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4680"/>
            <w:shd w:fill="2E75B6" w:color="auto" w:val="clear"/>
          </w:tcPr>
          <w:p>
            <w:r>
              <w:rPr>
                <w:b/>
                <w:bCs/>
                <w:color w:val="FFFFFF"/>
                <w:sz w:val="20"/>
                <w:szCs w:val="20"/>
              </w:rPr>
              <w:t xml:space="preserve">Feature Group</w:t>
            </w:r>
          </w:p>
        </w:tc>
        <w:tc>
          <w:tcPr>
            <w:tcW w:type="dxa" w:w="4680"/>
            <w:shd w:fill="2E75B6" w:color="auto" w:val="clear"/>
          </w:tcPr>
          <w:p>
            <w:r>
              <w:rPr>
                <w:b/>
                <w:bCs/>
                <w:color w:val="FFFFFF"/>
                <w:sz w:val="20"/>
                <w:szCs w:val="20"/>
              </w:rPr>
              <w:t xml:space="preserve">Rationale</w:t>
            </w:r>
          </w:p>
        </w:tc>
      </w:tr>
      <w:tr>
        <w:tc>
          <w:tcPr>
            <w:tcW w:type="dxa" w:w="2400"/>
            <w:shd w:fill="F2F2F2" w:color="auto" w:val="clear"/>
          </w:tcPr>
          <w:p>
            <w:r>
              <w:rPr>
                <w:b/>
                <w:bCs/>
                <w:sz w:val="18"/>
                <w:szCs w:val="18"/>
              </w:rPr>
              <w:t xml:space="preserve">Target Variable</w:t>
            </w:r>
          </w:p>
        </w:tc>
        <w:tc>
          <w:tcPr>
            <w:tcW w:type="dxa" w:w="6960"/>
            <w:shd w:fill="F2F2F2" w:color="auto" w:val="clear"/>
          </w:tcPr>
          <w:p>
            <w:r>
              <w:rPr>
                <w:b w:val="false"/>
                <w:bCs w:val="false"/>
                <w:sz w:val="18"/>
                <w:szCs w:val="18"/>
              </w:rPr>
              <w:t xml:space="preserve">ClosePrice is the prediction target. All other feature utility judgments are made relative to how well a given field explains variation in final sale price.</w:t>
            </w:r>
          </w:p>
        </w:tc>
      </w:tr>
      <w:tr>
        <w:tc>
          <w:tcPr>
            <w:tcW w:type="dxa" w:w="2400"/>
            <w:shd w:fill="FFFFFF" w:color="auto" w:val="clear"/>
          </w:tcPr>
          <w:p>
            <w:r>
              <w:rPr>
                <w:b/>
                <w:bCs/>
                <w:sz w:val="18"/>
                <w:szCs w:val="18"/>
              </w:rPr>
              <w:t xml:space="preserve">Amenity Flags</w:t>
            </w:r>
          </w:p>
        </w:tc>
        <w:tc>
          <w:tcPr>
            <w:tcW w:type="dxa" w:w="6960"/>
            <w:shd w:fill="FFFFFF" w:color="auto" w:val="clear"/>
          </w:tcPr>
          <w:p>
            <w:r>
              <w:rPr>
                <w:b w:val="false"/>
                <w:bCs w:val="false"/>
                <w:sz w:val="18"/>
                <w:szCs w:val="18"/>
              </w:rPr>
              <w:t xml:space="preserve">ViewYN, WaterfrontYN, BasementYN, PoolPrivateYN, NewConstructionYN, AttachedGarageYN. Binary presence/absence indicators for high-value amenities. Each flag signals a discrete price premium; together they capture qualitative property differences that size and age metrics alone cannot encode.</w:t>
            </w:r>
          </w:p>
        </w:tc>
      </w:tr>
      <w:tr>
        <w:tc>
          <w:tcPr>
            <w:tcW w:type="dxa" w:w="2400"/>
            <w:shd w:fill="F2F2F2" w:color="auto" w:val="clear"/>
          </w:tcPr>
          <w:p>
            <w:r>
              <w:rPr>
                <w:b/>
                <w:bCs/>
                <w:sz w:val="18"/>
                <w:szCs w:val="18"/>
              </w:rPr>
              <w:t xml:space="preserve">Capacity Counts</w:t>
            </w:r>
          </w:p>
        </w:tc>
        <w:tc>
          <w:tcPr>
            <w:tcW w:type="dxa" w:w="6960"/>
            <w:shd w:fill="F2F2F2" w:color="auto" w:val="clear"/>
          </w:tcPr>
          <w:p>
            <w:r>
              <w:rPr>
                <w:b w:val="false"/>
                <w:bCs w:val="false"/>
                <w:sz w:val="18"/>
                <w:szCs w:val="18"/>
              </w:rPr>
              <w:t xml:space="preserve">BedroomsTotal, BathroomsTotalInteger, FireplacesTotal, GarageSpaces, ParkingTotal, MainLevelBedrooms, Stories, Levels. Integer counts of functional living spaces. Bedroom and bathroom counts are among the most widely used comparables in real estate valuation and consistently rank among the strongest price predictors.</w:t>
            </w:r>
          </w:p>
        </w:tc>
      </w:tr>
      <w:tr>
        <w:tc>
          <w:tcPr>
            <w:tcW w:type="dxa" w:w="2400"/>
            <w:shd w:fill="FFFFFF" w:color="auto" w:val="clear"/>
          </w:tcPr>
          <w:p>
            <w:r>
              <w:rPr>
                <w:b/>
                <w:bCs/>
                <w:sz w:val="18"/>
                <w:szCs w:val="18"/>
              </w:rPr>
              <w:t xml:space="preserve">Size / Area</w:t>
            </w:r>
          </w:p>
        </w:tc>
        <w:tc>
          <w:tcPr>
            <w:tcW w:type="dxa" w:w="6960"/>
            <w:shd w:fill="FFFFFF" w:color="auto" w:val="clear"/>
          </w:tcPr>
          <w:p>
            <w:r>
              <w:rPr>
                <w:b w:val="false"/>
                <w:bCs w:val="false"/>
                <w:sz w:val="18"/>
                <w:szCs w:val="18"/>
              </w:rPr>
              <w:t xml:space="preserve">LivingArea, LotSizeSquareFeet, LotSizeArea, LotSizeAcres, BuildingAreaTotal. Overlapping measurements of interior and land footprint. Close price scales with area; redundancy across these columns enables cross-validation and imputation. Note: LotSizeDimensions is string-formatted and requires parsing before use.</w:t>
            </w:r>
          </w:p>
        </w:tc>
      </w:tr>
      <w:tr>
        <w:tc>
          <w:tcPr>
            <w:tcW w:type="dxa" w:w="2400"/>
            <w:shd w:fill="F2F2F2" w:color="auto" w:val="clear"/>
          </w:tcPr>
          <w:p>
            <w:r>
              <w:rPr>
                <w:b/>
                <w:bCs/>
                <w:sz w:val="18"/>
                <w:szCs w:val="18"/>
              </w:rPr>
              <w:t xml:space="preserve">Property Type</w:t>
            </w:r>
          </w:p>
        </w:tc>
        <w:tc>
          <w:tcPr>
            <w:tcW w:type="dxa" w:w="6960"/>
            <w:shd w:fill="F2F2F2" w:color="auto" w:val="clear"/>
          </w:tcPr>
          <w:p>
            <w:r>
              <w:rPr>
                <w:b w:val="false"/>
                <w:bCs w:val="false"/>
                <w:sz w:val="18"/>
                <w:szCs w:val="18"/>
              </w:rPr>
              <w:t xml:space="preserve">PropertyType, BusinessType. Coarse categorical encoding of the property category. Essential for model segmentation, as price distributions differ substantially across residential, commercial, and land listings. This dataset is filtered to Residential / SingleFamilyResidence only.</w:t>
            </w:r>
          </w:p>
        </w:tc>
      </w:tr>
      <w:tr>
        <w:tc>
          <w:tcPr>
            <w:tcW w:type="dxa" w:w="2400"/>
            <w:shd w:fill="FFFFFF" w:color="auto" w:val="clear"/>
          </w:tcPr>
          <w:p>
            <w:r>
              <w:rPr>
                <w:b/>
                <w:bCs/>
                <w:sz w:val="18"/>
                <w:szCs w:val="18"/>
              </w:rPr>
              <w:t xml:space="preserve">Listing Price</w:t>
            </w:r>
          </w:p>
        </w:tc>
        <w:tc>
          <w:tcPr>
            <w:tcW w:type="dxa" w:w="6960"/>
            <w:shd w:fill="FFFFFF" w:color="auto" w:val="clear"/>
          </w:tcPr>
          <w:p>
            <w:r>
              <w:rPr>
                <w:b w:val="false"/>
                <w:bCs w:val="false"/>
                <w:sz w:val="18"/>
                <w:szCs w:val="18"/>
              </w:rPr>
              <w:t xml:space="preserve">ListPrice reflects the seller's asking price at time of listing. Highly predictive of ClosePrice but introduces data leakage risk if the model is intended to predict price independently of list context. Include with caution and explicit documentation of its role.</w:t>
            </w:r>
          </w:p>
        </w:tc>
      </w:tr>
      <w:tr>
        <w:tc>
          <w:tcPr>
            <w:tcW w:type="dxa" w:w="2400"/>
            <w:shd w:fill="F2F2F2" w:color="auto" w:val="clear"/>
          </w:tcPr>
          <w:p>
            <w:r>
              <w:rPr>
                <w:b/>
                <w:bCs/>
                <w:sz w:val="18"/>
                <w:szCs w:val="18"/>
              </w:rPr>
              <w:t xml:space="preserve">Market Exposure</w:t>
            </w:r>
          </w:p>
        </w:tc>
        <w:tc>
          <w:tcPr>
            <w:tcW w:type="dxa" w:w="6960"/>
            <w:shd w:fill="F2F2F2" w:color="auto" w:val="clear"/>
          </w:tcPr>
          <w:p>
            <w:r>
              <w:rPr>
                <w:b w:val="false"/>
                <w:bCs w:val="false"/>
                <w:sz w:val="18"/>
                <w:szCs w:val="18"/>
              </w:rPr>
              <w:t xml:space="preserve">DaysOnMarket. A proxy for demand and desirability. Longer market exposure typically correlates with weaker close-to-list ratios and lower buyer competition — an indirect but meaningful signal.</w:t>
            </w:r>
          </w:p>
        </w:tc>
      </w:tr>
      <w:tr>
        <w:tc>
          <w:tcPr>
            <w:tcW w:type="dxa" w:w="2400"/>
            <w:shd w:fill="FFFFFF" w:color="auto" w:val="clear"/>
          </w:tcPr>
          <w:p>
            <w:r>
              <w:rPr>
                <w:b/>
                <w:bCs/>
                <w:sz w:val="18"/>
                <w:szCs w:val="18"/>
              </w:rPr>
              <w:t xml:space="preserve">Property Age</w:t>
            </w:r>
          </w:p>
        </w:tc>
        <w:tc>
          <w:tcPr>
            <w:tcW w:type="dxa" w:w="6960"/>
            <w:shd w:fill="FFFFFF" w:color="auto" w:val="clear"/>
          </w:tcPr>
          <w:p>
            <w:r>
              <w:rPr>
                <w:b w:val="false"/>
                <w:bCs w:val="false"/>
                <w:sz w:val="18"/>
                <w:szCs w:val="18"/>
              </w:rPr>
              <w:t xml:space="preserve">YearBuilt. Age of structure at time of sale. Interacts with condition and renovation history; newer construction generally commands a premium, though this relationship is nonlinear and market-dependent.</w:t>
            </w:r>
          </w:p>
        </w:tc>
      </w:tr>
      <w:tr>
        <w:tc>
          <w:tcPr>
            <w:tcW w:type="dxa" w:w="2400"/>
            <w:shd w:fill="F2F2F2" w:color="auto" w:val="clear"/>
          </w:tcPr>
          <w:p>
            <w:r>
              <w:rPr>
                <w:b/>
                <w:bCs/>
                <w:sz w:val="18"/>
                <w:szCs w:val="18"/>
              </w:rPr>
              <w:t xml:space="preserve">HOA Costs</w:t>
            </w:r>
          </w:p>
        </w:tc>
        <w:tc>
          <w:tcPr>
            <w:tcW w:type="dxa" w:w="6960"/>
            <w:shd w:fill="F2F2F2" w:color="auto" w:val="clear"/>
          </w:tcPr>
          <w:p>
            <w:r>
              <w:rPr>
                <w:b w:val="false"/>
                <w:bCs w:val="false"/>
                <w:sz w:val="18"/>
                <w:szCs w:val="18"/>
              </w:rPr>
              <w:t xml:space="preserve">AssociationFee, AssociationFeeFrequency. Recurring ownership costs that directly affect buyer affordability calculations and effective demand. Particularly relevant for condos and planned communities.</w:t>
            </w:r>
          </w:p>
        </w:tc>
      </w:tr>
      <w:tr>
        <w:tc>
          <w:tcPr>
            <w:tcW w:type="dxa" w:w="2400"/>
            <w:shd w:fill="FFFFFF" w:color="auto" w:val="clear"/>
          </w:tcPr>
          <w:p>
            <w:r>
              <w:rPr>
                <w:b/>
                <w:bCs/>
                <w:sz w:val="18"/>
                <w:szCs w:val="18"/>
              </w:rPr>
              <w:t xml:space="preserve">Tax Assessment</w:t>
            </w:r>
          </w:p>
        </w:tc>
        <w:tc>
          <w:tcPr>
            <w:tcW w:type="dxa" w:w="6960"/>
            <w:shd w:fill="FFFFFF" w:color="auto" w:val="clear"/>
          </w:tcPr>
          <w:p>
            <w:r>
              <w:rPr>
                <w:b w:val="false"/>
                <w:bCs w:val="false"/>
                <w:sz w:val="18"/>
                <w:szCs w:val="18"/>
              </w:rPr>
              <w:t xml:space="preserve">TaxAnnualAmount, TaxYear. Correlated with assessed value, which tracks market value over time with a lag. Useful as a secondary valuation signal, though it may underreact to recent market movements.</w:t>
            </w:r>
          </w:p>
        </w:tc>
      </w:tr>
      <w:tr>
        <w:tc>
          <w:tcPr>
            <w:tcW w:type="dxa" w:w="2400"/>
            <w:shd w:fill="F2F2F2" w:color="auto" w:val="clear"/>
          </w:tcPr>
          <w:p>
            <w:r>
              <w:rPr>
                <w:b/>
                <w:bCs/>
                <w:sz w:val="18"/>
                <w:szCs w:val="18"/>
              </w:rPr>
              <w:t xml:space="preserve">Market Context</w:t>
            </w:r>
          </w:p>
        </w:tc>
        <w:tc>
          <w:tcPr>
            <w:tcW w:type="dxa" w:w="6960"/>
            <w:shd w:fill="F2F2F2" w:color="auto" w:val="clear"/>
          </w:tcPr>
          <w:p>
            <w:r>
              <w:rPr>
                <w:b w:val="false"/>
                <w:bCs w:val="false"/>
                <w:sz w:val="18"/>
                <w:szCs w:val="18"/>
              </w:rPr>
              <w:t xml:space="preserve">MLSAreaMajor, MlsStatus. MLSAreaMajor provides a coarser geographic market classification than city or ZIP code, capturing local conditions without introducing excessive cardinality. MlsStatus encodes transaction stage and enables filtering to appropriate listing cohorts.</w:t>
            </w:r>
          </w:p>
        </w:tc>
      </w:tr>
      <w:tr>
        <w:tc>
          <w:tcPr>
            <w:tcW w:type="dxa" w:w="2400"/>
            <w:shd w:fill="FFFFFF" w:color="auto" w:val="clear"/>
          </w:tcPr>
          <w:p>
            <w:r>
              <w:rPr>
                <w:b/>
                <w:bCs/>
                <w:sz w:val="18"/>
                <w:szCs w:val="18"/>
              </w:rPr>
              <w:t xml:space="preserve">Flooring / Surface</w:t>
            </w:r>
          </w:p>
        </w:tc>
        <w:tc>
          <w:tcPr>
            <w:tcW w:type="dxa" w:w="6960"/>
            <w:shd w:fill="FFFFFF" w:color="auto" w:val="clear"/>
          </w:tcPr>
          <w:p>
            <w:r>
              <w:rPr>
                <w:b w:val="false"/>
                <w:bCs w:val="false"/>
                <w:sz w:val="18"/>
                <w:szCs w:val="18"/>
              </w:rPr>
              <w:t xml:space="preserve">Surface and condition-related fields. Assumed to encode material quality or renovation status, both of which carry price implications. Exact semantics require confirmation against MLS schema documentation.</w:t>
            </w:r>
          </w:p>
        </w:tc>
      </w:tr>
    </w:tbl>
    <w:p>
      <w:pPr>
        <w:spacing w:before="300"/>
      </w:pPr>
      <w:r>
        <w:t xml:space="preserve"/>
      </w:r>
    </w:p>
    <w:p>
      <w:pPr>
        <w:pStyle w:val="Heading2"/>
        <w:spacing w:after="100" w:before="300"/>
      </w:pPr>
      <w:r>
        <w:rPr>
          <w:b/>
          <w:bCs/>
          <w:color w:val="2E75B6"/>
          <w:sz w:val="28"/>
          <w:szCs w:val="28"/>
        </w:rPr>
        <w:t xml:space="preserve">⚠️  Semi-Useful Features</w:t>
      </w:r>
    </w:p>
    <w:p>
      <w:pPr>
        <w:spacing w:after="120"/>
      </w:pPr>
      <w:r>
        <w:rPr>
          <w:sz w:val="20"/>
          <w:szCs w:val="20"/>
        </w:rPr>
        <w:t xml:space="preserve">These fields carry real information but require additional processing, exhibit high cardinality, or serve primarily administrative functions. They may add value in specific modeling contexts but are not plug-and-play inputs.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4680"/>
            <w:shd w:fill="2E75B6" w:color="auto" w:val="clear"/>
          </w:tcPr>
          <w:p>
            <w:r>
              <w:rPr>
                <w:b/>
                <w:bCs/>
                <w:color w:val="FFFFFF"/>
                <w:sz w:val="20"/>
                <w:szCs w:val="20"/>
              </w:rPr>
              <w:t xml:space="preserve">Feature Group</w:t>
            </w:r>
          </w:p>
        </w:tc>
        <w:tc>
          <w:tcPr>
            <w:tcW w:type="dxa" w:w="4680"/>
            <w:shd w:fill="2E75B6" w:color="auto" w:val="clear"/>
          </w:tcPr>
          <w:p>
            <w:r>
              <w:rPr>
                <w:b/>
                <w:bCs/>
                <w:color w:val="FFFFFF"/>
                <w:sz w:val="20"/>
                <w:szCs w:val="20"/>
              </w:rPr>
              <w:t xml:space="preserve">Rationale</w:t>
            </w:r>
          </w:p>
        </w:tc>
      </w:tr>
      <w:tr>
        <w:tc>
          <w:tcPr>
            <w:tcW w:type="dxa" w:w="2400"/>
            <w:shd w:fill="F2F2F2" w:color="auto" w:val="clear"/>
          </w:tcPr>
          <w:p>
            <w:r>
              <w:rPr>
                <w:b/>
                <w:bCs/>
                <w:sz w:val="18"/>
                <w:szCs w:val="18"/>
              </w:rPr>
              <w:t xml:space="preserve">Listing IDs</w:t>
            </w:r>
          </w:p>
        </w:tc>
        <w:tc>
          <w:tcPr>
            <w:tcW w:type="dxa" w:w="6960"/>
            <w:shd w:fill="F2F2F2" w:color="auto" w:val="clear"/>
          </w:tcPr>
          <w:p>
            <w:r>
              <w:rPr>
                <w:b w:val="false"/>
                <w:bCs w:val="false"/>
                <w:sz w:val="18"/>
                <w:szCs w:val="18"/>
              </w:rPr>
              <w:t xml:space="preserve">ListingKey, ListingKeyNumeric, ListingId, StreetNumberNumeric. Unique row identifiers. Not directly predictive, but critical for deduplication, table joins, and observation tracking across data pulls.</w:t>
            </w:r>
          </w:p>
        </w:tc>
      </w:tr>
      <w:tr>
        <w:tc>
          <w:tcPr>
            <w:tcW w:type="dxa" w:w="2400"/>
            <w:shd w:fill="FFFFFF" w:color="auto" w:val="clear"/>
          </w:tcPr>
          <w:p>
            <w:r>
              <w:rPr>
                <w:b/>
                <w:bCs/>
                <w:sz w:val="18"/>
                <w:szCs w:val="18"/>
              </w:rPr>
              <w:t xml:space="preserve">Transaction Dates</w:t>
            </w:r>
          </w:p>
        </w:tc>
        <w:tc>
          <w:tcPr>
            <w:tcW w:type="dxa" w:w="6960"/>
            <w:shd w:fill="FFFFFF" w:color="auto" w:val="clear"/>
          </w:tcPr>
          <w:p>
            <w:r>
              <w:rPr>
                <w:b w:val="false"/>
                <w:bCs w:val="false"/>
                <w:sz w:val="18"/>
                <w:szCs w:val="18"/>
              </w:rPr>
              <w:t xml:space="preserve">ListingContractDate, PurchaseContractDate, CloseDate, ContractStatusChangeDate. Temporal markers across the deal lifecycle. Most useful for extracting seasonality signals (month, quarter) or computing time-to-contract durations rather than as direct model inputs.</w:t>
            </w:r>
          </w:p>
        </w:tc>
      </w:tr>
      <w:tr>
        <w:tc>
          <w:tcPr>
            <w:tcW w:type="dxa" w:w="2400"/>
            <w:shd w:fill="F2F2F2" w:color="auto" w:val="clear"/>
          </w:tcPr>
          <w:p>
            <w:r>
              <w:rPr>
                <w:b/>
                <w:bCs/>
                <w:sz w:val="18"/>
                <w:szCs w:val="18"/>
              </w:rPr>
              <w:t xml:space="preserve">Fine-Grained Geography</w:t>
            </w:r>
          </w:p>
        </w:tc>
        <w:tc>
          <w:tcPr>
            <w:tcW w:type="dxa" w:w="6960"/>
            <w:shd w:fill="F2F2F2" w:color="auto" w:val="clear"/>
          </w:tcPr>
          <w:p>
            <w:r>
              <w:rPr>
                <w:b w:val="false"/>
                <w:bCs w:val="false"/>
                <w:sz w:val="18"/>
                <w:szCs w:val="18"/>
              </w:rPr>
              <w:t xml:space="preserve">Latitude, Longitude, City, SubdivisionName, CountyOrParish, BuyerAgentAOR, ListAgentAOR, BuyerOfficeAOR. Latitude and longitude enable direct spatial modeling and school district joins. The remaining fields are high-cardinality categoricals that risk poor generalization without grouping, embeddings, or external enrichment.</w:t>
            </w:r>
          </w:p>
        </w:tc>
      </w:tr>
      <w:tr>
        <w:tc>
          <w:tcPr>
            <w:tcW w:type="dxa" w:w="2400"/>
            <w:shd w:fill="FFFFFF" w:color="auto" w:val="clear"/>
          </w:tcPr>
          <w:p>
            <w:r>
              <w:rPr>
                <w:b/>
                <w:bCs/>
                <w:sz w:val="18"/>
                <w:szCs w:val="18"/>
              </w:rPr>
              <w:t xml:space="preserve">Property Subtype</w:t>
            </w:r>
          </w:p>
        </w:tc>
        <w:tc>
          <w:tcPr>
            <w:tcW w:type="dxa" w:w="6960"/>
            <w:shd w:fill="FFFFFF" w:color="auto" w:val="clear"/>
          </w:tcPr>
          <w:p>
            <w:r>
              <w:rPr>
                <w:b w:val="false"/>
                <w:bCs w:val="false"/>
                <w:sz w:val="18"/>
                <w:szCs w:val="18"/>
              </w:rPr>
              <w:t xml:space="preserve">PropertySubType. More granular than PropertyType. Adds specificity in combination with it but may introduce sparsity if certain subtypes are underrepresented in the data.</w:t>
            </w:r>
          </w:p>
        </w:tc>
      </w:tr>
      <w:tr>
        <w:tc>
          <w:tcPr>
            <w:tcW w:type="dxa" w:w="2400"/>
            <w:shd w:fill="F2F2F2" w:color="auto" w:val="clear"/>
          </w:tcPr>
          <w:p>
            <w:r>
              <w:rPr>
                <w:b/>
                <w:bCs/>
                <w:sz w:val="18"/>
                <w:szCs w:val="18"/>
              </w:rPr>
              <w:t xml:space="preserve">Office / Agent Names</w:t>
            </w:r>
          </w:p>
        </w:tc>
        <w:tc>
          <w:tcPr>
            <w:tcW w:type="dxa" w:w="6960"/>
            <w:shd w:fill="F2F2F2" w:color="auto" w:val="clear"/>
          </w:tcPr>
          <w:p>
            <w:r>
              <w:rPr>
                <w:b w:val="false"/>
                <w:bCs w:val="false"/>
                <w:sz w:val="18"/>
                <w:szCs w:val="18"/>
              </w:rPr>
              <w:t xml:space="preserve">ListOfficeName, BuyerOfficeName, CoListOfficeName. Brokerage-level identifiers that could weakly proxy for market positioning or agent quality effects. However, they generalize poorly across time and geographies and require careful encoding to avoid overfitting.</w:t>
            </w:r>
          </w:p>
        </w:tc>
      </w:tr>
      <w:tr>
        <w:tc>
          <w:tcPr>
            <w:tcW w:type="dxa" w:w="2400"/>
            <w:shd w:fill="FFFFFF" w:color="auto" w:val="clear"/>
          </w:tcPr>
          <w:p>
            <w:r>
              <w:rPr>
                <w:b/>
                <w:bCs/>
                <w:sz w:val="18"/>
                <w:szCs w:val="18"/>
              </w:rPr>
              <w:t xml:space="preserve">School Districts</w:t>
            </w:r>
          </w:p>
        </w:tc>
        <w:tc>
          <w:tcPr>
            <w:tcW w:type="dxa" w:w="6960"/>
            <w:shd w:fill="FFFFFF" w:color="auto" w:val="clear"/>
          </w:tcPr>
          <w:p>
            <w:r>
              <w:rPr>
                <w:b w:val="false"/>
                <w:bCs w:val="false"/>
                <w:sz w:val="18"/>
                <w:szCs w:val="18"/>
              </w:rPr>
              <w:t xml:space="preserve">ElementarySchool, MiddleOrJuniorSchool, HighSchool, and associated district fields. School quality is a well-documented price driver in residential markets. However, these are high-cardinality raw strings — most useful when mapped to external quality indices rather than used as-is.</w:t>
            </w:r>
          </w:p>
        </w:tc>
      </w:tr>
      <w:tr>
        <w:tc>
          <w:tcPr>
            <w:tcW w:type="dxa" w:w="2400"/>
            <w:shd w:fill="F2F2F2" w:color="auto" w:val="clear"/>
          </w:tcPr>
          <w:p>
            <w:r>
              <w:rPr>
                <w:b/>
                <w:bCs/>
                <w:sz w:val="18"/>
                <w:szCs w:val="18"/>
              </w:rPr>
              <w:t xml:space="preserve">Builder Name</w:t>
            </w:r>
          </w:p>
        </w:tc>
        <w:tc>
          <w:tcPr>
            <w:tcW w:type="dxa" w:w="6960"/>
            <w:shd w:fill="F2F2F2" w:color="auto" w:val="clear"/>
          </w:tcPr>
          <w:p>
            <w:r>
              <w:rPr>
                <w:b w:val="false"/>
                <w:bCs w:val="false"/>
                <w:sz w:val="18"/>
                <w:szCs w:val="18"/>
              </w:rPr>
              <w:t xml:space="preserve">BuilderName. Relevant for new construction comparisons but sparsely populated across the full dataset and unlikely to generalize beyond specific developments.</w:t>
            </w:r>
          </w:p>
        </w:tc>
      </w:tr>
    </w:tbl>
    <w:p>
      <w:pPr>
        <w:spacing w:before="300"/>
      </w:pPr>
      <w:r>
        <w:t xml:space="preserve"/>
      </w:r>
    </w:p>
    <w:p>
      <w:pPr>
        <w:pStyle w:val="Heading2"/>
        <w:spacing w:after="100" w:before="300"/>
      </w:pPr>
      <w:r>
        <w:rPr>
          <w:b/>
          <w:bCs/>
          <w:color w:val="2E75B6"/>
          <w:sz w:val="28"/>
          <w:szCs w:val="28"/>
        </w:rPr>
        <w:t xml:space="preserve">❌  Not Useful Features</w:t>
      </w:r>
    </w:p>
    <w:p>
      <w:pPr>
        <w:spacing w:after="120"/>
      </w:pPr>
      <w:r>
        <w:rPr>
          <w:sz w:val="20"/>
          <w:szCs w:val="20"/>
        </w:rPr>
        <w:t xml:space="preserve">These fields are excluded from modeling. They are constant across the dataset, serve as personal identifiers, are redundant with better-structured alternatives, or are too sparse to be reliable in a California residential context.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4680"/>
            <w:shd w:fill="2E75B6" w:color="auto" w:val="clear"/>
          </w:tcPr>
          <w:p>
            <w:r>
              <w:rPr>
                <w:b/>
                <w:bCs/>
                <w:color w:val="FFFFFF"/>
                <w:sz w:val="20"/>
                <w:szCs w:val="20"/>
              </w:rPr>
              <w:t xml:space="preserve">Feature Group</w:t>
            </w:r>
          </w:p>
        </w:tc>
        <w:tc>
          <w:tcPr>
            <w:tcW w:type="dxa" w:w="4680"/>
            <w:shd w:fill="2E75B6" w:color="auto" w:val="clear"/>
          </w:tcPr>
          <w:p>
            <w:r>
              <w:rPr>
                <w:b/>
                <w:bCs/>
                <w:color w:val="FFFFFF"/>
                <w:sz w:val="20"/>
                <w:szCs w:val="20"/>
              </w:rPr>
              <w:t xml:space="preserve">Rationale</w:t>
            </w:r>
          </w:p>
        </w:tc>
      </w:tr>
      <w:tr>
        <w:tc>
          <w:tcPr>
            <w:tcW w:type="dxa" w:w="2400"/>
            <w:shd w:fill="F2F2F2" w:color="auto" w:val="clear"/>
          </w:tcPr>
          <w:p>
            <w:r>
              <w:rPr>
                <w:b/>
                <w:bCs/>
                <w:sz w:val="18"/>
                <w:szCs w:val="18"/>
              </w:rPr>
              <w:t xml:space="preserve">Constant State Fields</w:t>
            </w:r>
          </w:p>
        </w:tc>
        <w:tc>
          <w:tcPr>
            <w:tcW w:type="dxa" w:w="6960"/>
            <w:shd w:fill="F2F2F2" w:color="auto" w:val="clear"/>
          </w:tcPr>
          <w:p>
            <w:r>
              <w:rPr>
                <w:b w:val="false"/>
                <w:bCs w:val="false"/>
                <w:sz w:val="18"/>
                <w:szCs w:val="18"/>
              </w:rPr>
              <w:t xml:space="preserve">StateOrProvince, OriginatingSystemName, OriginatingSystemSubName. No variance exists within this California-sourced dataset. These fields encode zero predictive information and add noise rather than signal.</w:t>
            </w:r>
          </w:p>
        </w:tc>
      </w:tr>
      <w:tr>
        <w:tc>
          <w:tcPr>
            <w:tcW w:type="dxa" w:w="2400"/>
            <w:shd w:fill="FFFFFF" w:color="auto" w:val="clear"/>
          </w:tcPr>
          <w:p>
            <w:r>
              <w:rPr>
                <w:b/>
                <w:bCs/>
                <w:sz w:val="18"/>
                <w:szCs w:val="18"/>
              </w:rPr>
              <w:t xml:space="preserve">Agent Contact Info</w:t>
            </w:r>
          </w:p>
        </w:tc>
        <w:tc>
          <w:tcPr>
            <w:tcW w:type="dxa" w:w="6960"/>
            <w:shd w:fill="FFFFFF" w:color="auto" w:val="clear"/>
          </w:tcPr>
          <w:p>
            <w:r>
              <w:rPr>
                <w:b w:val="false"/>
                <w:bCs w:val="false"/>
                <w:sz w:val="18"/>
                <w:szCs w:val="18"/>
              </w:rPr>
              <w:t xml:space="preserve">ListAgentEmail, ListAgentFirstName, ListAgentLastName, CoListAgentFirstName, CoListAgentLastName, BuyerAgentFirstName, BuyerAgentLastName, BuyerAgentMlsId, CoBuyerAgentFirstName. Personal identifiers with no predictive value. Including them risks the model memorizing agent-specific artifacts rather than learning generalizable property characteristics.</w:t>
            </w:r>
          </w:p>
        </w:tc>
      </w:tr>
      <w:tr>
        <w:tc>
          <w:tcPr>
            <w:tcW w:type="dxa" w:w="2400"/>
            <w:shd w:fill="F2F2F2" w:color="auto" w:val="clear"/>
          </w:tcPr>
          <w:p>
            <w:r>
              <w:rPr>
                <w:b/>
                <w:bCs/>
                <w:sz w:val="18"/>
                <w:szCs w:val="18"/>
              </w:rPr>
              <w:t xml:space="preserve">Unparsed Address</w:t>
            </w:r>
          </w:p>
        </w:tc>
        <w:tc>
          <w:tcPr>
            <w:tcW w:type="dxa" w:w="6960"/>
            <w:shd w:fill="F2F2F2" w:color="auto" w:val="clear"/>
          </w:tcPr>
          <w:p>
            <w:r>
              <w:rPr>
                <w:b w:val="false"/>
                <w:bCs w:val="false"/>
                <w:sz w:val="18"/>
                <w:szCs w:val="18"/>
              </w:rPr>
              <w:t xml:space="preserve">UnparsedAddress, PostalCode. The address string is redundant given structured geographic fields already present. ZIP code carries geographic signal in principle but is already better proxied by MLSAreaMajor and latitude/longitude coordinates.</w:t>
            </w:r>
          </w:p>
        </w:tc>
      </w:tr>
      <w:tr>
        <w:tc>
          <w:tcPr>
            <w:tcW w:type="dxa" w:w="2400"/>
            <w:shd w:fill="FFFFFF" w:color="auto" w:val="clear"/>
          </w:tcPr>
          <w:p>
            <w:r>
              <w:rPr>
                <w:b/>
                <w:bCs/>
                <w:sz w:val="18"/>
                <w:szCs w:val="18"/>
              </w:rPr>
              <w:t xml:space="preserve">Above/Below Grade Area</w:t>
            </w:r>
          </w:p>
        </w:tc>
        <w:tc>
          <w:tcPr>
            <w:tcW w:type="dxa" w:w="6960"/>
            <w:shd w:fill="FFFFFF" w:color="auto" w:val="clear"/>
          </w:tcPr>
          <w:p>
            <w:r>
              <w:rPr>
                <w:b w:val="false"/>
                <w:bCs w:val="false"/>
                <w:sz w:val="18"/>
                <w:szCs w:val="18"/>
              </w:rPr>
              <w:t xml:space="preserve">AboveGradeFinishedArea, BelowGradeFinishedArea. Predominantly missing in California listings, where split-level and basement construction is uncommon. Only worth including if population rates are meaningfully high, which is unlikely in this market.</w:t>
            </w:r>
          </w:p>
        </w:tc>
      </w:tr>
    </w:tbl>
    <w:p>
      <w:pPr>
        <w:spacing w:before="300"/>
      </w:pPr>
      <w:r>
        <w:t xml:space="preserve"/>
      </w:r>
    </w:p>
    <w:p>
      <w:pPr>
        <w:pStyle w:val="Heading2"/>
        <w:spacing w:after="100" w:before="300"/>
      </w:pPr>
      <w:r>
        <w:rPr>
          <w:b/>
          <w:bCs/>
          <w:color w:val="2E75B6"/>
          <w:sz w:val="28"/>
          <w:szCs w:val="28"/>
        </w:rPr>
        <w:t xml:space="preserve">🔍  Flagged for Review</w:t>
      </w:r>
    </w:p>
    <w:p>
      <w:pPr>
        <w:spacing w:after="120"/>
      </w:pPr>
      <w:r>
        <w:rPr>
          <w:sz w:val="20"/>
          <w:szCs w:val="20"/>
        </w:rPr>
        <w:t xml:space="preserve">Fields whose utility could not be conclusively determined from schema information alone. These require direct inspection of populated values before a final classification decision is made.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4680"/>
            <w:shd w:fill="2E75B6" w:color="auto" w:val="clear"/>
          </w:tcPr>
          <w:p>
            <w:r>
              <w:rPr>
                <w:b/>
                <w:bCs/>
                <w:color w:val="FFFFFF"/>
                <w:sz w:val="20"/>
                <w:szCs w:val="20"/>
              </w:rPr>
              <w:t xml:space="preserve">Feature Group</w:t>
            </w:r>
          </w:p>
        </w:tc>
        <w:tc>
          <w:tcPr>
            <w:tcW w:type="dxa" w:w="4680"/>
            <w:shd w:fill="2E75B6" w:color="auto" w:val="clear"/>
          </w:tcPr>
          <w:p>
            <w:r>
              <w:rPr>
                <w:b/>
                <w:bCs/>
                <w:color w:val="FFFFFF"/>
                <w:sz w:val="20"/>
                <w:szCs w:val="20"/>
              </w:rPr>
              <w:t xml:space="preserve">Rationale</w:t>
            </w:r>
          </w:p>
        </w:tc>
      </w:tr>
      <w:tr>
        <w:tc>
          <w:tcPr>
            <w:tcW w:type="dxa" w:w="2400"/>
            <w:shd w:fill="F2F2F2" w:color="auto" w:val="clear"/>
          </w:tcPr>
          <w:p>
            <w:r>
              <w:rPr>
                <w:b/>
                <w:bCs/>
                <w:sz w:val="18"/>
                <w:szCs w:val="18"/>
              </w:rPr>
              <w:t xml:space="preserve">CoveredSpaces</w:t>
            </w:r>
          </w:p>
        </w:tc>
        <w:tc>
          <w:tcPr>
            <w:tcW w:type="dxa" w:w="6960"/>
            <w:shd w:fill="F2F2F2" w:color="auto" w:val="clear"/>
          </w:tcPr>
          <w:p>
            <w:r>
              <w:rPr>
                <w:b w:val="false"/>
                <w:bCs w:val="false"/>
                <w:sz w:val="18"/>
                <w:szCs w:val="18"/>
              </w:rPr>
              <w:t xml:space="preserve">Unclear whether this is redundant with GarageSpaces and ParkingTotal or captures a meaningfully distinct category such as carports or covered parking structures. Requires inspection of populated values to determine whether it adds incremental information beyond existing capacity counts.</w:t>
            </w:r>
          </w:p>
        </w:tc>
      </w:tr>
    </w:tbl>
    <w:p>
      <w:pPr>
        <w:pBdr>
          <w:top w:val="single" w:color="2E75B6" w:sz="4"/>
        </w:pBdr>
        <w:spacing w:before="400"/>
      </w:pPr>
      <w:r>
        <w:rPr>
          <w:i/>
          <w:iCs/>
          <w:color w:val="666666"/>
          <w:sz w:val="16"/>
          <w:szCs w:val="16"/>
        </w:rPr>
        <w:t xml:space="preserve">Note: AOR = Association of REALTORS®. MLS = Multiple Listing Service. All feature groupings reflect the California residential market context of this dataset. Utility assessments may differ materially for datasets covering other geographies or property types.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2026-07-04T22:10:03.631Z</dcterms:created>
  <dcterms:modified xsi:type="dcterms:W3CDTF">2026-07-04T22:10:03.632Z</dcterms:modified>
</cp:coreProperties>
</file>

<file path=docProps/custom.xml><?xml version="1.0" encoding="utf-8"?>
<Properties xmlns="http://schemas.openxmlformats.org/officeDocument/2006/custom-properties" xmlns:vt="http://schemas.openxmlformats.org/officeDocument/2006/docPropsVTypes"/>
</file>